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 BNotO — Stellung und Aufgaben des Notars</w:t>
      </w:r>
    </w:p>
    <w:p>
      <w:r>
        <w:rPr>
          <w:color w:val="555555"/>
          <w:sz w:val="18"/>
        </w:rPr>
        <w:t xml:space="preserve">Bundesnotarordnung</w:t>
      </w:r>
    </w:p>
    <w:p>
      <w:r>
        <w:rPr>
          <w:color w:val="555555"/>
          <w:sz w:val="18"/>
        </w:rPr>
        <w:t xml:space="preserve">Stand: 01.08.2021 (konsolidierte Textfassung, kein amtliches Inkrafttretensdatum)</w:t>
      </w:r>
    </w:p>
    <w:p>
      <w:r>
        <w:t xml:space="preserve">Als unabhängige Träger eines öffentlichen Amtes werden für die Beurkundung von Rechtsvorgängen und andere Aufgaben auf dem Gebiet der vorsorgenden Rechtspflege in den Ländern Notare bestellt.</w:t>
      </w:r>
    </w:p>
    <w:p>
      <w:r>
        <w:rPr>
          <w:color w:val="555555"/>
          <w:sz w:val="17"/>
        </w:rPr>
        <w:t xml:space="preserve">Zitiervorschlag: § 1 BNotO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https://recht.nulegal.eu/gesetze/BNotO/1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