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BNichtrSchG — Verantwortlichkeit</w:t>
      </w:r>
    </w:p>
    <w:p>
      <w:r>
        <w:rPr>
          <w:color w:val="555555"/>
          <w:sz w:val="18"/>
        </w:rPr>
        <w:t xml:space="preserve">Bundesnichtraucherschutzgesetz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Einrichtung der Raucherbereiche und die Erfüllung der Hinweispflicht nach § 3 obliegen dem Inhaber des Hausrechts oder dem Betreiber des Verkehrsmittels.</w:t>
      </w:r>
    </w:p>
    <w:p>
      <w:r>
        <w:rPr>
          <w:color w:val="555555"/>
          <w:sz w:val="17"/>
        </w:rPr>
        <w:t xml:space="preserve">Zitiervorschlag: § 4 BNichtrSchG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https://recht.nulegal.eu/gesetze/BNichtrSchG/4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BNichtrSchG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