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BNichtrSchG — Begriffsbestimmungen</w:t>
      </w:r>
    </w:p>
    <w:p>
      <w:r>
        <w:rPr>
          <w:color w:val="555555"/>
          <w:sz w:val="18"/>
        </w:rPr>
        <w:t xml:space="preserve">Bundesnichtraucherschutzgesetz</w:t>
      </w:r>
    </w:p>
    <w:p>
      <w:r>
        <w:rPr>
          <w:color w:val="555555"/>
          <w:sz w:val="18"/>
        </w:rPr>
        <w:t xml:space="preserve">Stand: 01.04.2024 (konsolidierte Textfassung, kein amtliches Inkrafttretensdatum)</w:t>
      </w:r>
    </w:p>
    <w:p>
      <w:pPr>
        <w:ind w:left="420"/>
      </w:pPr>
      <w:r>
        <w:t xml:space="preserve">1. Einrichtungen des Bundes im Sinne dieses Gesetzes sind</w:t>
      </w:r>
    </w:p>
    <w:p>
      <w:pPr>
        <w:ind w:left="780"/>
      </w:pPr>
      <w:r>
        <w:t xml:space="preserve">a) Behörden, Dienststellen, Gerichte und sonstige öffentliche Einrichtungen des Bundes,</w:t>
      </w:r>
    </w:p>
    <w:p>
      <w:pPr>
        <w:ind w:left="780"/>
      </w:pPr>
      <w:r>
        <w:t xml:space="preserve">b) bundesunmittelbare Körperschaften, Anstalten und Stiftungen.</w:t>
      </w:r>
    </w:p>
    <w:p>
      <w:pPr>
        <w:ind w:left="420"/>
      </w:pPr>
      <w:r>
        <w:t xml:space="preserve">2. Verkehrsmittel des öffentlichen Personenverkehrs im Sinne dieses Gesetzes sind</w:t>
      </w:r>
    </w:p>
    <w:p>
      <w:pPr>
        <w:ind w:left="780"/>
      </w:pPr>
      <w:r>
        <w:t xml:space="preserve">a) die zur Beförderung von Personen benutzten Eisenbahnfahrzeuge der öffentlichen Eisenbahnen nach § 3 Abs. 1 des Allgemeinen Eisenbahngesetzes,</w:t>
      </w:r>
    </w:p>
    <w:p>
      <w:pPr>
        <w:ind w:left="780"/>
      </w:pPr>
      <w:r>
        <w:t xml:space="preserve">b) zur Beförderung von Personen eingesetzte Straßenbahnen, Oberleitungsomnibusse und Kraftfahrzeuge, soweit die Beförderung den Vorschriften des Personenbeförderungsgesetzes oder § 1 Nr. 4 Buchstabe d, g oder Buchstabe i der Freistellungs-Verordnung unterliegt,</w:t>
      </w:r>
    </w:p>
    <w:p>
      <w:pPr>
        <w:ind w:left="780"/>
      </w:pPr>
      <w:r>
        <w:t xml:space="preserve">c) Luftfahrzeuge, die für die gewerbsmäßige oder entgeltliche Beförderung von Personen oder für gewerbsmäßige Rundflüge eingesetzt werden,</w:t>
      </w:r>
    </w:p>
    <w:p>
      <w:pPr>
        <w:ind w:left="780"/>
      </w:pPr>
      <w:r>
        <w:t xml:space="preserve">d) Fahrgastschiffe, die Fahrgäste im Linienverkehr befördern.</w:t>
      </w:r>
    </w:p>
    <w:p>
      <w:pPr>
        <w:ind w:left="420"/>
      </w:pPr>
      <w:r>
        <w:t xml:space="preserve">3. Personenbahnhöfe der öffentlichen Eisenbahnen im Sinne dieses Gesetzes sind solche nach § 3 Absatz 1 des Allgemeinen Eisenbahngesetzes in Verbindung mit Anlage 2 Nummer 2 Buchstabe a des Eisenbahnregulierungsgesetzes.</w:t>
      </w:r>
    </w:p>
    <w:p>
      <w:pPr>
        <w:ind w:left="420"/>
      </w:pPr>
      <w:r>
        <w:t xml:space="preserve">4. Räume im Sinne dieses Gesetzes sind</w:t>
      </w:r>
    </w:p>
    <w:p>
      <w:pPr>
        <w:ind w:left="780"/>
      </w:pPr>
      <w:r>
        <w:t xml:space="preserve">a) baulich abgetrennte Einheiten eines Gebäudes,</w:t>
      </w:r>
    </w:p>
    <w:p>
      <w:pPr>
        <w:ind w:left="780"/>
      </w:pPr>
      <w:r>
        <w:t xml:space="preserve">b) räumlich abgetrennte Einheiten eines Verkehrsmittels.</w:t>
      </w:r>
    </w:p>
    <w:p>
      <w:r>
        <w:rPr>
          <w:color w:val="555555"/>
          <w:sz w:val="17"/>
        </w:rPr>
        <w:t xml:space="preserve">Zitiervorschlag: § 2 BNichtrSchG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https://recht.nulegal.eu/gesetze/BNichtrSchG/2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