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BNetzAFreqZutBGebV</w:t>
      </w:r>
    </w:p>
    <w:p>
      <w:r>
        <w:rPr>
          <w:color w:val="555555"/>
          <w:sz w:val="18"/>
        </w:rPr>
        <w:t xml:space="preserve">Besondere Gebührenverordnung Bundesnetzagentur - Frequenzzuteilungen –</w:t>
      </w:r>
    </w:p>
    <w:p>
      <w:r>
        <w:rPr>
          <w:color w:val="555555"/>
          <w:sz w:val="18"/>
        </w:rPr>
        <w:t xml:space="preserve">Stand: 01.10.2021 (konsolidierte Textfassung, kein amtliches Inkrafttretensdatum)</w:t>
      </w:r>
    </w:p>
    <w:p>
      <w:r>
        <w:t xml:space="preserve">Auf Grund des § 22 Absatz 4 in Verbindung mit Absatz 1 Satz 2 des Bundesgebührengesetzes vom 7. August 2013 (BGBl. I S. 3154) sowie in Verbindung mit § 142 Absatz 4 Satz 1, Absatz 3 Satz 1 Nummer 1 und Satz 3 in Verbindung mit Absatz 2 des Telekommunikationsgesetzes vom 22. Juni 2004 (BGBl. I S. 1190), von denen § 142 Absatz 4 durch Artikel 1 Nummer 108 Buchstabe c des Gesetzes vom 3. Mai 2012 (BGBl. I S. 958) eingefügt worden, § 142 Absatz 3 durch Artikel 1 Nummer 25 Buchstabe b des Gesetzes vom 4. November 2016 (BGBl. I S. 2473) geändert worden und § 142 Absatz 2 durch Artikel 2 Absatz 133 Nummer 1 Buchstabe b des Gesetzes vom 7. August 2013 (BGBl. I S. 3154) geändert worden ist, sowie in Verbindung mit § 1 der TKG-EMVG-FuAG-Übertragungsverordnung vom 5. Oktober 2017 (BGBl. I S. 3534) verordnet die Bundesnetzagentur für Elektrizität, Gas, Telekommunikation, Post und Eisenbahnen im Einvernehmen mit dem Bundesministerium für Wirtschaft und Energie, dem Bundesministerium der Finanzen und dem Bundesministerium für Verkehr und digitale Infrastruktur:</w:t>
      </w:r>
    </w:p>
    <w:p>
      <w:r>
        <w:rPr>
          <w:color w:val="555555"/>
          <w:sz w:val="17"/>
        </w:rPr>
        <w:t xml:space="preserve">Zitiervorschlag: Eingangsformel BNetzAFreqZutBGebV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https://recht.nulegal.eu/gesetze/BNetzAFreqZutBGebV/eingangsformel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