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BNetzAFreqZutBGebV — Inkrafttreten</w:t>
      </w:r>
    </w:p>
    <w:p>
      <w:r>
        <w:rPr>
          <w:color w:val="555555"/>
          <w:sz w:val="18"/>
        </w:rPr>
        <w:t xml:space="preserve">Besondere Gebührenverordnung Bundesnetzagentur - Frequenzzuteilungen –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5 BNetzAFreqZutBGebV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https://recht.nulegal.eu/gesetze/BNetzAFreqZutBGebV/5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