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BNetzAFreqZutBGebV — Höhe der Gebühren</w:t>
      </w:r>
    </w:p>
    <w:p>
      <w:r>
        <w:rPr>
          <w:color w:val="555555"/>
          <w:sz w:val="18"/>
        </w:rPr>
        <w:t xml:space="preserve">Besondere Gebührenverordnung Bundesnetzagentur - Frequenzzuteilungen –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Die gebührenpflichtigen Tatbestände und die Höhe der festzusetzenden Gebühren bestimmen sich nach dem Gebührenverzeichnis in der Anlage.</w:t>
      </w:r>
    </w:p>
    <w:p>
      <w:r>
        <w:rPr>
          <w:color w:val="555555"/>
          <w:sz w:val="17"/>
        </w:rPr>
        <w:t xml:space="preserve">Zitiervorschlag: § 2 BNetzAFreqZutBGebV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https://recht.nulegal.eu/gesetze/BNetzAFreqZutBGebV/2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