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BNetzABGebV — Gebühren- und Auslagenverzeichnis</w:t>
      </w:r>
    </w:p>
    <w:p>
      <w:r>
        <w:rPr>
          <w:color w:val="555555"/>
          <w:sz w:val="18"/>
        </w:rPr>
        <w:t xml:space="preserve">Besondere Gebührenverordnung BNetzA</w:t>
      </w:r>
    </w:p>
    <w:p>
      <w:r>
        <w:rPr>
          <w:color w:val="555555"/>
          <w:sz w:val="18"/>
        </w:rPr>
        <w:t xml:space="preserve">Stand: 22.07.2026 (konsolidierte Textfassung, kein amtliches Inkrafttretensdatum)</w:t>
      </w:r>
    </w:p>
    <w:p>
      <w:r>
        <w:t xml:space="preserve">(Fundstelle: BGBl. 2025 I Nr. 42, S. 3 - 7)</w:t>
      </w:r>
    </w:p>
    <w:p>
      <w:r>
        <w:t xml:space="preserve">Abschnitt 1: Elektromagnetische-Verträglichkeit-Gesetz (EMVG) und Funkanlagengesetz (FuAG)</w:t>
      </w:r>
    </w:p>
    <w:p>
      <w:r>
        <w:rPr>
          <w:rFonts w:ascii="Courier New" w:hAnsi="Courier New"/>
          <w:sz w:val="17"/>
        </w:rPr>
        <w:t xml:space="preserve">Nummer    Gebühren- oder Auslagentatbestand    Gebühren/Auslagen in Euro</w:t>
      </w:r>
    </w:p>
    <w:p>
      <w:r>
        <w:rPr>
          <w:rFonts w:ascii="Courier New" w:hAnsi="Courier New"/>
          <w:sz w:val="17"/>
        </w:rPr>
        <w:t xml:space="preserve">1    Maßnahmen nach § 22 Absatz 2 und den §§ 23 bis 26 EMVG sowie nach § 23 Absatz 2 und den §§ 24 bis 30 FuAG bei Verstoß gegen die dort genannten Vorschriften    nach Zeitaufwand</w:t>
      </w:r>
    </w:p>
    <w:p>
      <w:r>
        <w:rPr>
          <w:rFonts w:ascii="Courier New" w:hAnsi="Courier New"/>
          <w:sz w:val="17"/>
        </w:rPr>
        <w:t xml:space="preserve">2    Administrative oder messtechnische Prüfung eines Gerätes oder einer Geräteserie nach § 22 Absatz 2 EMVG in Verbindung mit § 4 EMVG bei Verstoß gegen die gesetzlichen Anforderungen des EMVG (zusätzlich zu der Gebühr nach Nummer 1)    nach Zeitaufwand</w:t>
      </w:r>
    </w:p>
    <w:p>
      <w:r>
        <w:rPr>
          <w:rFonts w:ascii="Courier New" w:hAnsi="Courier New"/>
          <w:sz w:val="17"/>
        </w:rPr>
        <w:t xml:space="preserve">3    Administrative oder messtechnische Prüfung eines Gerätes oder einer Geräteserie nach § 23 Absatz 2 FuAG in Verbindung mit § 4 FuAG bei Verstoß gegen die gesetzlichen Anforderungen des FuAG (zusätzlich zu der Gebühr nach Nummer 1)    nach Zeitaufwand</w:t>
      </w:r>
    </w:p>
    <w:p>
      <w:r>
        <w:rPr>
          <w:rFonts w:ascii="Courier New" w:hAnsi="Courier New"/>
          <w:sz w:val="17"/>
        </w:rPr>
        <w:t xml:space="preserve">4    Prüfung eines Gerätes in einem beauftragten Labor bei Verstoß gegen § 4 FuAG (zusätzlich zu der Gebühr nach Nummer 1)    Auslagenin tatsächlich entstandener Höhe</w:t>
      </w:r>
    </w:p>
    <w:p>
      <w:r>
        <w:rPr>
          <w:rFonts w:ascii="Courier New" w:hAnsi="Courier New"/>
          <w:sz w:val="17"/>
        </w:rPr>
        <w:t xml:space="preserve">5    Maßnahmen zur Ermittlung oder Beseitigung von Störungen nach § 27 Absatz 1 bis 3 EMVG bei Verstoß gegen die Vorschriften des § 6, des § 7 Absatz 2 und des § 20 Absatz 1 EMVG gegenüber den Betreibern von Betriebsmitteln    nach Zeitaufwand</w:t>
      </w:r>
    </w:p>
    <w:p>
      <w:r>
        <w:t xml:space="preserve">Abschnitt 2: Marktüberwachungsgesetz (MüG) und Verordnung (EU) 2019/1020 des Europäischen Parlaments und des Rates vom 20. Juni 2019 über Marktüberwachung und die Konformität von Produkten sowie zur Änderung der Richtlinie 2004/42/EG und der Verordnungen (EG) Nr. 765/2008 und (EU) Nr. 305/2011 (ABl. L 169 vom 25.6.2019, S. 1)</w:t>
      </w:r>
    </w:p>
    <w:p>
      <w:r>
        <w:rPr>
          <w:rFonts w:ascii="Courier New" w:hAnsi="Courier New"/>
          <w:sz w:val="17"/>
        </w:rPr>
        <w:t xml:space="preserve">Nummer    Gebühren- oder Auslagentatbestand    Gebühren/Auslagen in Euro</w:t>
      </w:r>
    </w:p>
    <w:p>
      <w:r>
        <w:rPr>
          <w:rFonts w:ascii="Courier New" w:hAnsi="Courier New"/>
          <w:sz w:val="17"/>
        </w:rPr>
        <w:t xml:space="preserve">1    Maßnahmen nach § 8 Absatz 2 MüG in Verbindung mit Artikel 16 der Verordnung (EU) 2019/1020    nach Zeitaufwand</w:t>
      </w:r>
    </w:p>
    <w:p>
      <w:r>
        <w:rPr>
          <w:rFonts w:ascii="Courier New" w:hAnsi="Courier New"/>
          <w:sz w:val="17"/>
        </w:rPr>
        <w:t xml:space="preserve">2    Maßnahmen nach Artikel 16 der Verordnung (EU) 2019/1020 gegenüber Fulfilment-Dienstleistern und gegenüber jeder anderen natürlichen oder juristischen Person, die Verpflichtungen im Zusammenhang mit der Herstellung von Produkten, deren Bereitstellung auf dem Markt oder deren Inbetriebnahme nach den einschlägigen Harmonisierungsrechtsvorschriften der Union unterliegt und nicht Wirtschaftsakteur im Sinne des Funkanlagengesetzes oder des Elektromagnetische-Verträglichkeit-Gesetzes ist    nach Zeitaufwand</w:t>
      </w:r>
    </w:p>
    <w:p>
      <w:r>
        <w:t xml:space="preserve">Abschnitt 3: Konformitätsbewertungsstellen-Anerkennungs-Verordnung (AnerkV)</w:t>
      </w:r>
    </w:p>
    <w:p>
      <w:r>
        <w:rPr>
          <w:rFonts w:ascii="Courier New" w:hAnsi="Courier New"/>
          <w:sz w:val="17"/>
        </w:rPr>
        <w:t xml:space="preserve">Nummer    Gebühren- oder Auslagentatbestand    Gebühren/Auslagen in Euro</w:t>
      </w:r>
    </w:p>
    <w:p>
      <w:r>
        <w:rPr>
          <w:rFonts w:ascii="Courier New" w:hAnsi="Courier New"/>
          <w:sz w:val="17"/>
        </w:rPr>
        <w:t xml:space="preserve">Allgemeine Gebühren</w:t>
      </w:r>
    </w:p>
    <w:p>
      <w:r>
        <w:rPr>
          <w:rFonts w:ascii="Courier New" w:hAnsi="Courier New"/>
          <w:sz w:val="17"/>
        </w:rPr>
        <w:t xml:space="preserve">1.1    Prüfung der nach § 3 Absatz 2 Nummer 2 in Verbindung mit § 10 oder § 12 AnerkV der vom Antragsteller vorgelegten Akkreditierungsurkunde der Deutschen Akkreditierungsstelle GmbH auf Plausibilität und Vollständigkeit    nach Zeitaufwand</w:t>
      </w:r>
    </w:p>
    <w:p>
      <w:r>
        <w:rPr>
          <w:rFonts w:ascii="Courier New" w:hAnsi="Courier New"/>
          <w:sz w:val="17"/>
        </w:rPr>
        <w:t xml:space="preserve">1.2    Anlassbezogene Überprüfung einer notifizierten Stelle oder Konformitätsbewertungsstelle für Drittstaaten im Rahmen einer bestehenden Anerkennung oder Änderung einer bestehenden Anerkennung    nach Zeitaufwand</w:t>
      </w:r>
    </w:p>
    <w:p>
      <w:r>
        <w:rPr>
          <w:rFonts w:ascii="Courier New" w:hAnsi="Courier New"/>
          <w:sz w:val="17"/>
        </w:rPr>
        <w:t xml:space="preserve">FuAG</w:t>
      </w:r>
    </w:p>
    <w:p>
      <w:r>
        <w:rPr>
          <w:rFonts w:ascii="Courier New" w:hAnsi="Courier New"/>
          <w:sz w:val="17"/>
        </w:rPr>
        <w:t xml:space="preserve">2.1    Anerkennung als notifizierte Stelle gemäß § 10 AnerkV    4 600 bis 14 500</w:t>
      </w:r>
    </w:p>
    <w:p>
      <w:r>
        <w:rPr>
          <w:rFonts w:ascii="Courier New" w:hAnsi="Courier New"/>
          <w:sz w:val="17"/>
        </w:rPr>
        <w:t xml:space="preserve">2.2    Regelmäßige Überprüfung der Anforderungen an die notifizierte Stelle nach § 4 Absatz 7 in Verbindung mit § 10 AnerkV    2 900 bis 10 500</w:t>
      </w:r>
    </w:p>
    <w:p>
      <w:r>
        <w:rPr>
          <w:rFonts w:ascii="Courier New" w:hAnsi="Courier New"/>
          <w:sz w:val="17"/>
        </w:rPr>
        <w:t xml:space="preserve">EMVG</w:t>
      </w:r>
    </w:p>
    <w:p>
      <w:r>
        <w:rPr>
          <w:rFonts w:ascii="Courier New" w:hAnsi="Courier New"/>
          <w:sz w:val="17"/>
        </w:rPr>
        <w:t xml:space="preserve">3.1    Anerkennung als notifizierte Stelle gemäß § 12 AnerkV    4 000 bis 13 000</w:t>
      </w:r>
    </w:p>
    <w:p>
      <w:r>
        <w:rPr>
          <w:rFonts w:ascii="Courier New" w:hAnsi="Courier New"/>
          <w:sz w:val="17"/>
        </w:rPr>
        <w:t xml:space="preserve">3.2    Regelmäßige Überprüfung der Anforderungen an die notifizierte Stelle nach § 4 Absatz 7 in Verbindung mit § 12 AnerkV    2 600 bis 10 200</w:t>
      </w:r>
    </w:p>
    <w:p>
      <w:r>
        <w:rPr>
          <w:rFonts w:ascii="Courier New" w:hAnsi="Courier New"/>
          <w:sz w:val="17"/>
        </w:rPr>
        <w:t xml:space="preserve">Drittstaaten-Abkommen</w:t>
      </w:r>
    </w:p>
    <w:p>
      <w:r>
        <w:rPr>
          <w:rFonts w:ascii="Courier New" w:hAnsi="Courier New"/>
          <w:sz w:val="17"/>
        </w:rPr>
        <w:t xml:space="preserve">4.1    Anerkennung einer Konformitätsbewertungsstelle für Drittstaaten nach § 1 Nr. 1 b und § 11 AnerkV    4 200 bis 14 000</w:t>
      </w:r>
    </w:p>
    <w:p>
      <w:r>
        <w:rPr>
          <w:rFonts w:ascii="Courier New" w:hAnsi="Courier New"/>
          <w:sz w:val="17"/>
        </w:rPr>
        <w:t xml:space="preserve">4.2    Anerkennung einer Konformitätsbewertungsstelle für Drittstaaten nach § 2 Nr. 1 b und § 13 AnerkV    4 200 bis 12 500</w:t>
      </w:r>
    </w:p>
    <w:p>
      <w:r>
        <w:rPr>
          <w:rFonts w:ascii="Courier New" w:hAnsi="Courier New"/>
          <w:sz w:val="17"/>
        </w:rPr>
        <w:t xml:space="preserve">4.3    Regelmäßige Überprüfung der Anforderungen an die Konformitätsbewertungsstelle für Drittstaaten nach § 4 Absatz 7 in Verbindung mit § 11 AnerkV    2 200 bis 11 000</w:t>
      </w:r>
    </w:p>
    <w:p>
      <w:r>
        <w:rPr>
          <w:rFonts w:ascii="Courier New" w:hAnsi="Courier New"/>
          <w:sz w:val="17"/>
        </w:rPr>
        <w:t xml:space="preserve">4.4    Regelmäßige Überprüfung der Anforderungen an die Konformitätsbewertungsstelle für Drittstaaten nach § 4 Absatz 7 in Verbindung mit § 13 AnerkV    2 200 bis 10 000</w:t>
      </w:r>
    </w:p>
    <w:p>
      <w:r>
        <w:rPr>
          <w:rFonts w:ascii="Courier New" w:hAnsi="Courier New"/>
          <w:sz w:val="17"/>
        </w:rPr>
        <w:t xml:space="preserve">CETA</w:t>
      </w:r>
    </w:p>
    <w:p>
      <w:r>
        <w:rPr>
          <w:rFonts w:ascii="Courier New" w:hAnsi="Courier New"/>
          <w:sz w:val="17"/>
        </w:rPr>
        <w:t xml:space="preserve">5    Meldung (Notifizierung) eines Antragstellers im Rahmen des CETA Abkommens mit Kanada an die zuständige kanadische Behörde ISED    nach Zeitaufwand</w:t>
      </w:r>
    </w:p>
    <w:p>
      <w:r>
        <w:t xml:space="preserve">Abschnitt 4: Verordnung über das Nachweisverfahren zur Begrenzung elektromagnetischer Felder (BEMFV)</w:t>
      </w:r>
    </w:p>
    <w:p>
      <w:r>
        <w:rPr>
          <w:rFonts w:ascii="Courier New" w:hAnsi="Courier New"/>
          <w:sz w:val="17"/>
        </w:rPr>
        <w:t xml:space="preserve">Nummer    Gebühren- oder Auslagentatbestand    Gebühren/Auslagen in Euro</w:t>
      </w:r>
    </w:p>
    <w:p>
      <w:r>
        <w:rPr>
          <w:rFonts w:ascii="Courier New" w:hAnsi="Courier New"/>
          <w:sz w:val="17"/>
        </w:rPr>
        <w:t xml:space="preserve">1    Erteilung einer Standortbescheinigung (einschließlich Nahbetrachtungen der zu bewertenden Sendeantennen, auch für bereits am Standort vorhandene Sendeantennen bei Standortmitbenutzungen oder erforderliche Messungen oder Nahfeldberechnungen oder Umwandlung vorläufiger Standortbescheinigungen nach § 5 Absatz 4 BEMFV)    nach Zeitaufwand</w:t>
      </w:r>
    </w:p>
    <w:p>
      <w:r>
        <w:rPr>
          <w:rFonts w:ascii="Courier New" w:hAnsi="Courier New"/>
          <w:sz w:val="17"/>
        </w:rPr>
        <w:t xml:space="preserve">2    Zweitschrift einer Standortbescheinigung    25</w:t>
      </w:r>
    </w:p>
    <w:p>
      <w:r>
        <w:rPr>
          <w:rFonts w:ascii="Courier New" w:hAnsi="Courier New"/>
          <w:sz w:val="17"/>
        </w:rPr>
        <w:t xml:space="preserve">3    Überprüfung von Standorten nach § 13 BEMFV: Maßnahmen bei Betrieb einer Funkanlage ohne die erforderliche Standortbescheinigung oder unter Verstoß gegen deren Bestimmungen; Verletzung von Anzeige- und Dokumentationspflichten; Betrieb einer Amateurfunkanlage unter Verstoß gegen § 8 BEMFV (einschließlich Ausführen eines mobilen Messeinsatzes)    nach Zeitaufwand</w:t>
      </w:r>
    </w:p>
    <w:p>
      <w:r>
        <w:t xml:space="preserve">Abschnitt 5: Sicherheitsfunk-Schutzverordnung (SchuTSEV)</w:t>
      </w:r>
    </w:p>
    <w:p>
      <w:r>
        <w:rPr>
          <w:rFonts w:ascii="Courier New" w:hAnsi="Courier New"/>
          <w:sz w:val="17"/>
        </w:rPr>
        <w:t xml:space="preserve">Nummer    Gebühren- oder Auslagentatbestand    Gebühren/Auslagen in Euro</w:t>
      </w:r>
    </w:p>
    <w:p>
      <w:r>
        <w:rPr>
          <w:rFonts w:ascii="Courier New" w:hAnsi="Courier New"/>
          <w:sz w:val="17"/>
        </w:rPr>
        <w:t xml:space="preserve">1    Maßnahmen zum Schutz von öffentlichen Telekommunikationsnetzen und Sende- und Empfangsfunkanlagen, die in definierten Frequenzbereichen zu Sicherheitszwecken betrieben werden, nach § 3 Absatz 2 bis 5, § 4 sowie § 5 Absatz 3 SchuTSEV    nach Zeitaufwand</w:t>
      </w:r>
    </w:p>
    <w:p>
      <w:r>
        <w:t xml:space="preserve">Abschnitt 6: Postgesetz (PostG)</w:t>
      </w:r>
    </w:p>
    <w:p>
      <w:r>
        <w:rPr>
          <w:rFonts w:ascii="Courier New" w:hAnsi="Courier New"/>
          <w:sz w:val="17"/>
        </w:rPr>
        <w:t xml:space="preserve">Nummer    Gebühren- oder Auslagentatbestand    Gebühren/Auslagen in Euro</w:t>
      </w:r>
    </w:p>
    <w:p>
      <w:r>
        <w:rPr>
          <w:rFonts w:ascii="Courier New" w:hAnsi="Courier New"/>
          <w:sz w:val="17"/>
        </w:rPr>
        <w:t xml:space="preserve">1    Leistungen der Beschlusskammer nach PostG    </w:t>
      </w:r>
    </w:p>
    <w:p>
      <w:r>
        <w:rPr>
          <w:rFonts w:ascii="Courier New" w:hAnsi="Courier New"/>
          <w:sz w:val="17"/>
        </w:rPr>
        <w:t xml:space="preserve">1.1    Erteilung einer Entgeltgenehmigung nach § 21 Absatz 1 Nummer 1 PostG    2 000 bis 45 500</w:t>
      </w:r>
    </w:p>
    <w:p>
      <w:r>
        <w:rPr>
          <w:rFonts w:ascii="Courier New" w:hAnsi="Courier New"/>
          <w:sz w:val="17"/>
        </w:rPr>
        <w:t xml:space="preserve">1.2    Festlegung von Maßgrößen für die durchschnittlichen Änderungsraten der Entgelte für einen Korb zusammengefasster Dienstleistungen nach § 21 Absatz 1 Nummer 2 PostG    9 000 bis 185 500</w:t>
      </w:r>
    </w:p>
    <w:p>
      <w:r>
        <w:rPr>
          <w:rFonts w:ascii="Courier New" w:hAnsi="Courier New"/>
          <w:sz w:val="17"/>
        </w:rPr>
        <w:t xml:space="preserve">1.3    Erteilung einer Entgeltgenehmigung im Price-Cap-Verfahren nach § 21 Absatz 1 Nummer 2 PostG    1 000 bis 7 000</w:t>
      </w:r>
    </w:p>
    <w:p>
      <w:r>
        <w:rPr>
          <w:rFonts w:ascii="Courier New" w:hAnsi="Courier New"/>
          <w:sz w:val="17"/>
        </w:rPr>
        <w:t xml:space="preserve">1.4    Erteilung einer Entgeltgenehmigung für Teilleistungen und andere Zugänge zu postalischen Infrastrukturen nach § 28 Absatz 2 Satz 1 PostG    2 000 bis 45 500</w:t>
      </w:r>
    </w:p>
    <w:p>
      <w:r>
        <w:rPr>
          <w:rFonts w:ascii="Courier New" w:hAnsi="Courier New"/>
          <w:sz w:val="17"/>
        </w:rPr>
        <w:t xml:space="preserve">1.5    Aufforderung zur Anpassung von Entgelten nach § 24 Absatz 3 PostG    1 500 bis 36 500</w:t>
      </w:r>
    </w:p>
    <w:p>
      <w:r>
        <w:rPr>
          <w:rFonts w:ascii="Courier New" w:hAnsi="Courier New"/>
          <w:sz w:val="17"/>
        </w:rPr>
        <w:t xml:space="preserve">1.6    Untersagung und Erklärung der Unwirksamkeit eines Entgelts nach § 24 Absatz 4 PostG    500 bis 22 000</w:t>
      </w:r>
    </w:p>
    <w:p>
      <w:r>
        <w:rPr>
          <w:rFonts w:ascii="Courier New" w:hAnsi="Courier New"/>
          <w:sz w:val="17"/>
        </w:rPr>
        <w:t xml:space="preserve">1.7    Aufforderung zur Anpassung von Entgelten nach § 25 Absatz 2 PostG    1 500 bis 41 000</w:t>
      </w:r>
    </w:p>
    <w:p>
      <w:r>
        <w:rPr>
          <w:rFonts w:ascii="Courier New" w:hAnsi="Courier New"/>
          <w:sz w:val="17"/>
        </w:rPr>
        <w:t xml:space="preserve">1.8    Untersagung und Erklärung der Unwirksamkeit eines Entgelts nach § 25 Absatz 3 PostG    500 bis 22 000</w:t>
      </w:r>
    </w:p>
    <w:p>
      <w:r>
        <w:rPr>
          <w:rFonts w:ascii="Courier New" w:hAnsi="Courier New"/>
          <w:sz w:val="17"/>
        </w:rPr>
        <w:t xml:space="preserve">1.9    Durchführung eines Schlichtungsverfahrens nach § 31 Absatz 1 PostG    500 bis 19 000</w:t>
      </w:r>
    </w:p>
    <w:p>
      <w:r>
        <w:rPr>
          <w:rFonts w:ascii="Courier New" w:hAnsi="Courier New"/>
          <w:sz w:val="17"/>
        </w:rPr>
        <w:t xml:space="preserve">1.10    Festlegung der Bedingungen eines Vertrages einschließlich der Anordnung seiner Geltung nach § 31 Absatz 2 PostG    500 bis 19 000</w:t>
      </w:r>
    </w:p>
    <w:p>
      <w:r>
        <w:rPr>
          <w:rFonts w:ascii="Courier New" w:hAnsi="Courier New"/>
          <w:sz w:val="17"/>
        </w:rPr>
        <w:t xml:space="preserve">1.11    Entscheidung zur Beendigung der missbräuchlichen Ausnutzung einer marktbeherrschenden Stellung nach § 32 Absatz 2 Satz 2 PostG    1 500 bis 44 000</w:t>
      </w:r>
    </w:p>
    <w:p>
      <w:r>
        <w:rPr>
          <w:rFonts w:ascii="Courier New" w:hAnsi="Courier New"/>
          <w:sz w:val="17"/>
        </w:rPr>
        <w:t xml:space="preserve">1.12    Erteilung einer Entgeltgenehmigung nach § 34 Satz 4 PostG    200 bis 5 500</w:t>
      </w:r>
    </w:p>
    <w:p>
      <w:r>
        <w:rPr>
          <w:rFonts w:ascii="Courier New" w:hAnsi="Courier New"/>
          <w:sz w:val="17"/>
        </w:rPr>
        <w:t xml:space="preserve">1.13    Untersagung der Durchführung eines Vertrages nach § 23 Absatz 3 PostG    1 000 bis 29 500</w:t>
      </w:r>
    </w:p>
    <w:p>
      <w:r>
        <w:rPr>
          <w:rFonts w:ascii="Courier New" w:hAnsi="Courier New"/>
          <w:sz w:val="17"/>
        </w:rPr>
        <w:t xml:space="preserve">1.14    Entscheidung zur Beendigung der missbräuchlichen Ausnutzung einer marktbeherrschenden Stellung nach § 32 Absatz 2 Satz 1 PostG    500 bis 22 000</w:t>
      </w:r>
    </w:p>
    <w:p>
      <w:r>
        <w:rPr>
          <w:rFonts w:ascii="Courier New" w:hAnsi="Courier New"/>
          <w:sz w:val="17"/>
        </w:rPr>
        <w:t xml:space="preserve">2.    Sonstige Leistungen nach PostG    </w:t>
      </w:r>
    </w:p>
    <w:p>
      <w:r>
        <w:rPr>
          <w:rFonts w:ascii="Courier New" w:hAnsi="Courier New"/>
          <w:sz w:val="17"/>
        </w:rPr>
        <w:t xml:space="preserve">2.1    Erteilung einer Lizenz nach § 6 Absatz 1 Satz 1 PostG    nach Zeitaufwand</w:t>
      </w:r>
    </w:p>
    <w:p>
      <w:r>
        <w:rPr>
          <w:rFonts w:ascii="Courier New" w:hAnsi="Courier New"/>
          <w:sz w:val="17"/>
        </w:rPr>
        <w:t xml:space="preserve">2.2    Zustimmung zur Übertragung einer Lizenz nach § 7 Absatz 1 Satz 1 PostG    nach Zeitaufwand</w:t>
      </w:r>
    </w:p>
    <w:p>
      <w:r>
        <w:rPr>
          <w:rFonts w:ascii="Courier New" w:hAnsi="Courier New"/>
          <w:sz w:val="17"/>
        </w:rPr>
        <w:t xml:space="preserve">2.3    Änderung einer bestehenden Lizenz nach den §§ 6, 33 PostG    nach Zeitaufwand</w:t>
      </w:r>
    </w:p>
    <w:p>
      <w:r>
        <w:rPr>
          <w:rFonts w:ascii="Courier New" w:hAnsi="Courier New"/>
          <w:sz w:val="17"/>
        </w:rPr>
        <w:t xml:space="preserve">2.4    Nachträgliches Beifügen von Nebenbestimmungen der Lizenz nach § 6 Absatz 2 Satz 2 PostG    nach Zeitaufwand</w:t>
      </w:r>
    </w:p>
    <w:p>
      <w:r>
        <w:rPr>
          <w:rFonts w:ascii="Courier New" w:hAnsi="Courier New"/>
          <w:sz w:val="17"/>
        </w:rPr>
        <w:t xml:space="preserve">2.5    Bereitstellung von Verträgen zur Einsichtnahme nach § 30 Absatz 2 PostG    nach Zeitaufwand</w:t>
      </w:r>
    </w:p>
    <w:p>
      <w:r>
        <w:rPr>
          <w:rFonts w:ascii="Courier New" w:hAnsi="Courier New"/>
          <w:sz w:val="17"/>
        </w:rPr>
        <w:t xml:space="preserve">2.6    Anordnungen nach § 42 Absatz 1 PostG    nach Zeitaufwand</w:t>
      </w:r>
    </w:p>
    <w:p>
      <w:r>
        <w:rPr>
          <w:rFonts w:ascii="Courier New" w:hAnsi="Courier New"/>
          <w:sz w:val="17"/>
        </w:rPr>
        <w:t xml:space="preserve">2.7    Untersagung des geschäftsmäßigen Erbringens von Postdiensten nach § 42 Absatz 2 PostG    nach Zeitaufwand</w:t>
      </w:r>
    </w:p>
    <w:p>
      <w:r>
        <w:rPr>
          <w:rFonts w:ascii="Courier New" w:hAnsi="Courier New"/>
          <w:sz w:val="17"/>
        </w:rPr>
        <w:t xml:space="preserve">2.8    Anordnungen nach § 45 Absatz 2 PostG in Verbindung mit § 45 Absatz 1 Nummer 2 PostG    nach Zeitaufwand</w:t>
      </w:r>
    </w:p>
    <w:p>
      <w:r>
        <w:rPr>
          <w:rFonts w:ascii="Courier New" w:hAnsi="Courier New"/>
          <w:sz w:val="17"/>
        </w:rPr>
        <w:t xml:space="preserve">2.9    Widerruf einer Lizenz nach § 9 PostG    nach Zeitaufwand</w:t>
      </w:r>
    </w:p>
    <w:p>
      <w:r>
        <w:t xml:space="preserve">Abschnitt 7: Post- und Telekommunikationssicherstellungsgesetz (PTSG)</w:t>
      </w:r>
    </w:p>
    <w:p>
      <w:r>
        <w:rPr>
          <w:rFonts w:ascii="Courier New" w:hAnsi="Courier New"/>
          <w:sz w:val="17"/>
        </w:rPr>
        <w:t xml:space="preserve">Nummer    Gebühren- oder Auslagentatbestand    Gebühren/Auslagen in Euro</w:t>
      </w:r>
    </w:p>
    <w:p>
      <w:r>
        <w:rPr>
          <w:rFonts w:ascii="Courier New" w:hAnsi="Courier New"/>
          <w:sz w:val="17"/>
        </w:rPr>
        <w:t xml:space="preserve">1    Maßnahme zur Durchsetzung von Verpflichtungen nach § 10 PTSG    nach Zeitaufwand</w:t>
      </w:r>
    </w:p>
    <w:p>
      <w:r>
        <w:t xml:space="preserve">Abschnitt 8: Erneuerbare-Energien-Gesetz, KWK-Ausschreibungsverordnung (KWKAusV), Strom-Versorgungssicherheits-und-Kapazitätengesetz (StromVKG) Innovationsausschreibungsverordnung (InnAusV), Grenzüberschreitende-Erneuerbare-Energien-Verordnung (GEEV)</w:t>
      </w:r>
    </w:p>
    <w:p>
      <w:r>
        <w:rPr>
          <w:rFonts w:ascii="Courier New" w:hAnsi="Courier New"/>
          <w:sz w:val="17"/>
        </w:rPr>
        <w:t xml:space="preserve">Nummer    Gebühren- oder Auslagentatbestand    Gebühren/Auslagen in Euro</w:t>
      </w:r>
    </w:p>
    <w:p>
      <w:r>
        <w:rPr>
          <w:rFonts w:ascii="Courier New" w:hAnsi="Courier New"/>
          <w:sz w:val="17"/>
        </w:rPr>
        <w:t xml:space="preserve">1    Durchführung eines Zuschlagsverfahrens –für Solaranlagen des ersten Segments nach den §§ 32 und 37d des Erneuerbare-Energien-Gesetzes,–für Solaranlagen nach § 11 InnAusV oder–für Solaranlagen nach § 12 GEEV    624</w:t>
      </w:r>
    </w:p>
    <w:p>
      <w:r>
        <w:rPr>
          <w:rFonts w:ascii="Courier New" w:hAnsi="Courier New"/>
          <w:sz w:val="17"/>
        </w:rPr>
        <w:t xml:space="preserve">2    Durchführung eines Zuschlagsverfahrens für Solaranlagen des zweiten Segments nach § 32 des Erneuerbare-Energien-Gesetzes    451</w:t>
      </w:r>
    </w:p>
    <w:p>
      <w:r>
        <w:rPr>
          <w:rFonts w:ascii="Courier New" w:hAnsi="Courier New"/>
          <w:sz w:val="17"/>
        </w:rPr>
        <w:t xml:space="preserve">3    Ausstellung einer Zahlungsberechtigung –für Solaranlagen des ersten Segments nach den §§ 38 und 38a des Erneuerbare-Energien-Gesetzes oder–für Solaranlagen nach den §§ 23 und 24 GEEV    495</w:t>
      </w:r>
    </w:p>
    <w:p>
      <w:r>
        <w:rPr>
          <w:rFonts w:ascii="Courier New" w:hAnsi="Courier New"/>
          <w:sz w:val="17"/>
        </w:rPr>
        <w:t xml:space="preserve">4    Durchführung eines Zuschlagsverfahrens für Windenergieanlagen an Land –nach § 32 des Erneuerbare-Energien-Gesetzes,–nach § 11 InnAusV oder–nach § 12 GEEV    597</w:t>
      </w:r>
    </w:p>
    <w:p>
      <w:r>
        <w:rPr>
          <w:rFonts w:ascii="Courier New" w:hAnsi="Courier New"/>
          <w:sz w:val="17"/>
        </w:rPr>
        <w:t xml:space="preserve">5    Durchführung eines Zuschlagsverfahrens –für Biomasseanlagen nach den §§ 32 und 39d des Erneuerbare-Energien-Gesetzes,–für Biomasseanlagen nach § 11 InnAusV oder–für Biomethananlagen nach Teil 3 Abschnitt 3 Unterabschnitt 6 des Erneuerbare-Energien-Gesetzes    597</w:t>
      </w:r>
    </w:p>
    <w:p>
      <w:r>
        <w:rPr>
          <w:rFonts w:ascii="Courier New" w:hAnsi="Courier New"/>
          <w:sz w:val="17"/>
        </w:rPr>
        <w:t xml:space="preserve">6    Durchführung eines Zuschlagsverfahrens für KWK-Anlagen und innovative KWK-Systeme nach § 11 KWKAusV    1 019</w:t>
      </w:r>
    </w:p>
    <w:p>
      <w:r>
        <w:rPr>
          <w:rFonts w:ascii="Courier New" w:hAnsi="Courier New"/>
          <w:sz w:val="17"/>
        </w:rPr>
        <w:t xml:space="preserve">7    Durchführung eines Zuschlagsverfahrens für Ausschreibungen für Anlagen nach dem StromVKG    956</w:t>
      </w:r>
    </w:p>
    <w:p>
      <w:r>
        <w:rPr>
          <w:rFonts w:ascii="Courier New" w:hAnsi="Courier New"/>
          <w:sz w:val="17"/>
        </w:rPr>
        <w:t xml:space="preserve">8    Bewilligung der Ausnahme von der bedarfsgesteuerten Nachtkennzeichnung nach § 9 Absatz 8 Satz 6 des Erneuerbare-Energien-Gesetzes    1 883</w:t>
      </w:r>
    </w:p>
    <w:p>
      <w:r>
        <w:rPr>
          <w:rFonts w:ascii="Courier New" w:hAnsi="Courier New"/>
          <w:sz w:val="17"/>
        </w:rPr>
        <w:t xml:space="preserve">9    Verlängerung der Realisierungsfrist von Zuschlägen –für Windenergieanlagen an Land nach § 36e Absatz 2 oder Absatz 3 des Erneuerbare-Energien-Gesetzes–für Biomasseanlagen nach § 39e Absatz 2 des Erneuerbare-Energien-Gesetzes    561,66</w:t>
      </w:r>
    </w:p>
    <w:p>
      <w:r>
        <w:rPr>
          <w:rFonts w:ascii="Courier New" w:hAnsi="Courier New"/>
          <w:sz w:val="17"/>
        </w:rPr>
        <w:t xml:space="preserve">10    Verlängerung der Realisierungsfrist von Zuschlägen für Windenergieanlagen an Land nach § 100 Absatz 15 des Erneuerbare-Energien-Gesetzes in der bis zum Ablauf des 31. Dezember 2022 geltenden Fassung    280,83</w:t>
      </w:r>
    </w:p>
    <w:p>
      <w:r>
        <w:t xml:space="preserve">Abschnitt 9: Kohleverstromungsbeendigungsgesetz (KVBG)</w:t>
      </w:r>
    </w:p>
    <w:p>
      <w:r>
        <w:rPr>
          <w:rFonts w:ascii="Courier New" w:hAnsi="Courier New"/>
          <w:sz w:val="17"/>
        </w:rPr>
        <w:t xml:space="preserve">Nummer    Gebühren- oder Auslagentatbestand    Gebühren/Auslagen in Euro</w:t>
      </w:r>
    </w:p>
    <w:p>
      <w:r>
        <w:rPr>
          <w:rFonts w:ascii="Courier New" w:hAnsi="Courier New"/>
          <w:sz w:val="17"/>
        </w:rPr>
        <w:t xml:space="preserve">1    Gebotsverfahren    </w:t>
      </w:r>
    </w:p>
    <w:p>
      <w:r>
        <w:rPr>
          <w:rFonts w:ascii="Courier New" w:hAnsi="Courier New"/>
          <w:sz w:val="17"/>
        </w:rPr>
        <w:t xml:space="preserve">1.1    Abschließende Entscheidungen gegenüber einzelnen Bietern im Gebotsverfahren nach den §§ 16, 17 oder 21 in Verbindung mit § 18 Absatz 8 oder § 20 Absatz 1 KVBG    5 782,91bis 165 826,44</w:t>
      </w:r>
    </w:p>
    <w:p>
      <w:r>
        <w:rPr>
          <w:rFonts w:ascii="Courier New" w:hAnsi="Courier New"/>
          <w:sz w:val="17"/>
        </w:rPr>
        <w:t xml:space="preserve">1.2    Gebühr bei Rücknahme des Gebots nach § 15 Absatz 1 KVBG vor abschließender Entscheidung, aber nach Beginn der sachlichen Bearbeitung    489,07</w:t>
      </w:r>
    </w:p>
    <w:p>
      <w:r>
        <w:rPr>
          <w:rFonts w:ascii="Courier New" w:hAnsi="Courier New"/>
          <w:sz w:val="17"/>
        </w:rPr>
        <w:t xml:space="preserve">2    Härtefallantrag nach § 39 Absatz 1 KVBG    </w:t>
      </w:r>
    </w:p>
    <w:p>
      <w:r>
        <w:rPr>
          <w:rFonts w:ascii="Courier New" w:hAnsi="Courier New"/>
          <w:sz w:val="17"/>
        </w:rPr>
        <w:t xml:space="preserve">2.1    Entscheidung über Härtefallantrag    5 602,86bis 50 000,00</w:t>
      </w:r>
    </w:p>
    <w:p>
      <w:r>
        <w:rPr>
          <w:rFonts w:ascii="Courier New" w:hAnsi="Courier New"/>
          <w:sz w:val="17"/>
        </w:rPr>
        <w:t xml:space="preserve">2.2    Gebühr bei Rücknahme des Härtefallantrages vor der Entscheidung, aber nach Beginn der sachlichen Bearbeitung    Gebührenrahmen nach Nummer 2.1, aber höchstens75 Prozent der Obergrenze</w:t>
      </w:r>
    </w:p>
    <w:p>
      <w:r>
        <w:t xml:space="preserve">Abschnitt 10: Messstellenbetriebsgesetz (MsbG)</w:t>
      </w:r>
    </w:p>
    <w:p>
      <w:r>
        <w:rPr>
          <w:rFonts w:ascii="Courier New" w:hAnsi="Courier New"/>
          <w:sz w:val="17"/>
        </w:rPr>
        <w:t xml:space="preserve">Nummer    Gebühren- oder Auslagentatbestand    Gebühren/Auslagen in Euro</w:t>
      </w:r>
    </w:p>
    <w:p>
      <w:r>
        <w:rPr>
          <w:rFonts w:ascii="Courier New" w:hAnsi="Courier New"/>
          <w:sz w:val="17"/>
        </w:rPr>
        <w:t xml:space="preserve">1    Genehmigung des grundzuständigen Messstellenbetriebs nach § 4 Absatz 1 MsbG    3 000</w:t>
      </w:r>
    </w:p>
    <w:p>
      <w:r>
        <w:rPr>
          <w:rFonts w:ascii="Courier New" w:hAnsi="Courier New"/>
          <w:sz w:val="17"/>
        </w:rPr>
        <w:t xml:space="preserve">2    Untersagung des grundzuständigen Messstellenbetriebs bei Messstellenbetrieb ohne Genehmigung nach § 4 Absatz 4 MsbG    3 400</w:t>
      </w:r>
    </w:p>
    <w:p>
      <w:r>
        <w:rPr>
          <w:rFonts w:ascii="Courier New" w:hAnsi="Courier New"/>
          <w:sz w:val="17"/>
        </w:rPr>
        <w:t xml:space="preserve">3    Maßnahmen nach § 4 Absatz 4 MsbG zur vorläufigen Verpflichtung des grundzuständigen Messstellenbetreibers, ein Verhalten abzustellen, das einen Versagungsgrund im Sinne des § 4 Absatz 3 MsbG darstellen würde    nach Zeitaufwand</w:t>
      </w:r>
    </w:p>
    <w:p>
      <w:r>
        <w:rPr>
          <w:rFonts w:ascii="Courier New" w:hAnsi="Courier New"/>
          <w:sz w:val="17"/>
        </w:rPr>
        <w:t xml:space="preserve">4    Festlegungen nach § 47 MsbG in Verbindung mit § 29 Absatz 1 des Energiewirtschaftsgesetzes (EnWG)    3 500 bis 100 000</w:t>
      </w:r>
    </w:p>
    <w:p>
      <w:r>
        <w:rPr>
          <w:rFonts w:ascii="Courier New" w:hAnsi="Courier New"/>
          <w:sz w:val="17"/>
        </w:rPr>
        <w:t xml:space="preserve">5    Festlegungen nach § 75 MsbG in Verbindung mit § 29 Absatz 1 EnWG    3 500 bis 100 000</w:t>
      </w:r>
    </w:p>
    <w:p>
      <w:r>
        <w:rPr>
          <w:rFonts w:ascii="Courier New" w:hAnsi="Courier New"/>
          <w:sz w:val="17"/>
        </w:rPr>
        <w:t xml:space="preserve">6    Aufsichtsmaßnahmen nach § 76 MsbG    500 bis 120 000</w:t>
      </w:r>
    </w:p>
    <w:p>
      <w:r>
        <w:t xml:space="preserve">Abschnitt 11: Datennutzungsgesetz (DNG)</w:t>
      </w:r>
    </w:p>
    <w:p>
      <w:r>
        <w:rPr>
          <w:rFonts w:ascii="Courier New" w:hAnsi="Courier New"/>
          <w:sz w:val="17"/>
        </w:rPr>
        <w:t xml:space="preserve">Nummer    Gebühren- oder Auslagentatbestand    Gebühren/Auslagen in Euro</w:t>
      </w:r>
    </w:p>
    <w:p>
      <w:r>
        <w:rPr>
          <w:rFonts w:ascii="Courier New" w:hAnsi="Courier New"/>
          <w:sz w:val="17"/>
        </w:rPr>
        <w:t xml:space="preserve">1    Aufnahme einer öffentlichen Stelle in die Liste nach § 10 Absatz 4 DNG    nach Zeitaufwand</w:t>
      </w:r>
    </w:p>
    <w:p>
      <w:r>
        <w:t xml:space="preserve">Abschnitt 12: Strompreisbremsegesetz (StromPBG)</w:t>
      </w:r>
    </w:p>
    <w:p>
      <w:r>
        <w:rPr>
          <w:rFonts w:ascii="Courier New" w:hAnsi="Courier New"/>
          <w:sz w:val="17"/>
        </w:rPr>
        <w:t xml:space="preserve">Nummer    Gebühren- oder Auslagentatbestand    Gebühren/Auslagen in Euro</w:t>
      </w:r>
    </w:p>
    <w:p>
      <w:r>
        <w:rPr>
          <w:rFonts w:ascii="Courier New" w:hAnsi="Courier New"/>
          <w:sz w:val="17"/>
        </w:rPr>
        <w:t xml:space="preserve">1    Setzung einer Zahlungsfrist nach § 41 Absatz 1 Satz 1 und 3 StromPBG    280,44</w:t>
      </w:r>
    </w:p>
    <w:p>
      <w:r>
        <w:rPr>
          <w:rFonts w:ascii="Courier New" w:hAnsi="Courier New"/>
          <w:sz w:val="17"/>
        </w:rPr>
        <w:t xml:space="preserve">2    Festsetzung eines Überschusserlöses nach § 41 Absatz 1 Satz 2 und Absatz 3 StromPBG    794,71</w:t>
      </w:r>
    </w:p>
    <w:p>
      <w:r>
        <w:rPr>
          <w:rFonts w:ascii="Courier New" w:hAnsi="Courier New"/>
          <w:sz w:val="17"/>
        </w:rPr>
        <w:t xml:space="preserve">3    Maßnahmen nach § 40 Absatz 2 Satz 1 StromPBG in Verbindung mit § 65 EnWG    nach Zeitaufwand</w:t>
      </w:r>
    </w:p>
    <w:p>
      <w:r>
        <w:rPr>
          <w:color w:val="555555"/>
          <w:sz w:val="17"/>
        </w:rPr>
        <w:t xml:space="preserve">Zitiervorschlag: Anlage BNetzABGebV</w:t>
      </w:r>
    </w:p>
    <w:p>
      <w:r>
        <w:rPr>
          <w:color w:val="555555"/>
          <w:sz w:val="17"/>
        </w:rPr>
        <w:t xml:space="preserve">Quelle: Bundesamt für Justiz, abgerufen 22.07.2026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https://recht.nulegal.eu/gesetze/BNetzABGebV/anlage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