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BNetzABGebV — Inkrafttreten; Außerkrafttreten</w:t>
      </w:r>
    </w:p>
    <w:p>
      <w:r>
        <w:rPr>
          <w:color w:val="555555"/>
          <w:sz w:val="18"/>
        </w:rPr>
        <w:t xml:space="preserve">Besondere Gebührenverordnung BNetzA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Diese Verordnung tritt am 1. Oktober 2021 in Kraft. Gleichzeitig treten außer Kraft:</w:t>
      </w:r>
    </w:p>
    <w:p>
      <w:pPr>
        <w:ind w:left="420"/>
      </w:pPr>
      <w:r>
        <w:t xml:space="preserve">1. die Besondere Gebührenverordnung der Beschlusskammern Post und Telekommunikation der Bundesnetzagentur vom 13. September 2019 (BGBl. I S. 1394),</w:t>
      </w:r>
    </w:p>
    <w:p>
      <w:pPr>
        <w:ind w:left="420"/>
      </w:pPr>
      <w:r>
        <w:t xml:space="preserve">2. die Besondere Gebührenverordnung des Bundesministeriums für Wirtschaft und Energie für den Bereich des Elektromagnetische-Verträglichkeit-Gesetzes und des Funkanlagengesetzes vom 17. Oktober 2017 (BGBl. I S. 3576),</w:t>
      </w:r>
    </w:p>
    <w:p>
      <w:pPr>
        <w:ind w:left="420"/>
      </w:pPr>
      <w:r>
        <w:t xml:space="preserve">3. die Kohleverstromungsbeendigungsgesetz-Gebührenverordnung vom 18. Dezember 2020 (BGBl. I S. 3044,</w:t>
      </w:r>
    </w:p>
    <w:p>
      <w:pPr>
        <w:ind w:left="420"/>
      </w:pPr>
      <w:r>
        <w:t xml:space="preserve">4. die EEG- und Ausschreibungsgebührenverordnung vom 6. Februar 2015 (BGBl. I S. 108, 120), die zuletzt durch Artikel 11a des Gesetzes vom 16. Juli 2021 (BGBl. I S. 3026) geändert worden ist.</w:t>
      </w:r>
    </w:p>
    <w:p>
      <w:r>
        <w:rPr>
          <w:color w:val="555555"/>
          <w:sz w:val="17"/>
        </w:rPr>
        <w:t xml:space="preserve">Zitiervorschlag: § 7 BNetzABGebV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https://recht.nulegal.eu/gesetze/BNetzABGebV/7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