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BNatSchGKostV</w:t>
      </w:r>
    </w:p>
    <w:p>
      <w:r>
        <w:rPr>
          <w:color w:val="555555"/>
          <w:sz w:val="18"/>
        </w:rPr>
        <w:t xml:space="preserve">Kostenverordnung für Amtshandlungen des Bundesamtes für Naturschutz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Auf Grund des § 21g Abs. 2 des Bundesnaturschutzgesetzes in der Fassung der Bekanntmachung vom 12. März 1987 (BGBl. I S. 889) in Verbindung mit dem 2. Abschnitt des Verwaltungskostengesetzes vom 23. Juni 1970 (BGBl. I S. 821) verordnet das Bundesministerium für Umwelt, Naturschutz und Reaktorsicherheit im Einvernehmen mit dem Bundesministerium der Finanzen, dem Bundesministerium für Ernährung, Landwirtschaft und Forsten und dem Bundesministerium für Wirtschaft:</w:t>
      </w:r>
    </w:p>
    <w:p>
      <w:r>
        <w:rPr>
          <w:color w:val="555555"/>
          <w:sz w:val="17"/>
        </w:rPr>
        <w:t xml:space="preserve">Zitiervorschlag: Eingangsformel BNatSchGKostV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https://recht.nulegal.eu/gesetze/BNatSchGKostV/eingangsformel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BNatSchGKostV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