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BNatSchG 2009 — Beobachtung von Natur und Landschaft</w:t>
      </w:r>
    </w:p>
    <w:p>
      <w:r>
        <w:rPr>
          <w:color w:val="555555"/>
          <w:sz w:val="18"/>
        </w:rPr>
        <w:t xml:space="preserve">Bundesnaturschutzgesetz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 und die Länder beobachten im Rahmen ihrer Zuständigkeiten Natur und Landschaft (allgemeiner Grundsatz).</w:t>
      </w:r>
    </w:p>
    <w:p>
      <w:r>
        <w:t xml:space="preserve">(2) Die Beobachtung dient der gezielten und fortlaufenden Ermittlung, Beschreibung und Bewertung des Zustands von Natur und Landschaft und ihrer Veränderungen einschließlich der Ursachen und Folgen dieser Veränderungen.</w:t>
      </w:r>
    </w:p>
    <w:p>
      <w:r>
        <w:t xml:space="preserve">(3) Die Beobachtung umfasst insbesondere</w:t>
      </w:r>
    </w:p>
    <w:p>
      <w:pPr>
        <w:ind w:left="420"/>
      </w:pPr>
      <w:r>
        <w:t xml:space="preserve">1. den Zustand von Landschaften, Biotopen und Arten zur Erfüllung völkerrechtlicher Verpflichtungen,</w:t>
      </w:r>
    </w:p>
    <w:p>
      <w:pPr>
        <w:ind w:left="420"/>
      </w:pPr>
      <w:r>
        <w:t xml:space="preserve">2. den Erhaltungszustand der natürlichen Lebensraumtypen und Arten von gemeinschaftlichem Interesse einschließlich des unbeabsichtigten Fangs oder Tötens der Tierarten, die in Anhang IV Buchstabe a der Richtlinie 92/43/EWG des Rates vom 21. Mai 1992 zur Erhaltung der natürlichen Lebensräume sowie der wildlebenden Tiere und Pflanzen (ABl. L 206 vom 22.7.1992, S. 7), die zuletzt durch die Richtlinie 2006/105/EG (ABl. L 363 vom 20.12.2006, S. 368) geändert worden ist, aufgeführt sind, sowie der europäischen Vogelarten und ihrer Lebensräume; dabei sind die prioritären natürlichen Lebensraumtypen und prioritären Arten besonders zu berücksichtigen,</w:t>
      </w:r>
    </w:p>
    <w:p>
      <w:pPr>
        <w:ind w:left="420"/>
      </w:pPr>
      <w:r>
        <w:t xml:space="preserve">3. den Zustand weiterer in Anhang III Tabelle 1 der Richtlinie 2008/56/EG des Europäischen Parlaments und des Rates vom 17. Juni 2008 zur Schaffung eines Ordnungsrahmens für Maßnahmen der Gemeinschaft im Bereich der Meeresumwelt (Meeresstrategie-Rahmenrichtlinie) (ABl. L 164 vom 25.6.2008, S. 19) aufgeführter Biotoptypen und sonstiger biologischer Merkmale,</w:t>
      </w:r>
    </w:p>
    <w:p>
      <w:pPr>
        <w:ind w:left="420"/>
      </w:pPr>
      <w:r>
        <w:t xml:space="preserve">4. das Vorkommen invasiver Arten gemäß § 7 Absatz 2 Nummer 9 Buchstabe a nach Maßgabe des Artikels 14 der Verordnung (EU) Nr. 1143/2014 des Europäischen Parlaments und des Rates vom 22. Oktober 2014 über die Prävention und das Management der Einbringung und Ausbreitung invasiver gebietsfremder Arten (ABl. L 317 vom 4.11.2014, S. 35).</w:t>
      </w:r>
    </w:p>
    <w:p>
      <w:r>
        <w:t xml:space="preserve">(4) Die zuständigen Behörden des Bundes und der Länder unterstützen sich bei der Beobachtung. Sie sollen ihre Beobachtungsmaßnahmen aufeinander abstimmen.</w:t>
      </w:r>
    </w:p>
    <w:p>
      <w:r>
        <w:t xml:space="preserve">(5) Das Bundesamt für Naturschutz nimmt die Aufgaben des Bundes auf dem Gebiet der Beobachtung von Natur und Landschaft wahr, soweit in Rechtsvorschriften nichts anderes bestimmt ist.</w:t>
      </w:r>
    </w:p>
    <w:p>
      <w:r>
        <w:t xml:space="preserve">(6) Rechtsvorschriften über die Geheimhaltung, über den Schutz personenbezogener Daten sowie über den Schutz von Betriebs- und Geschäftsgeheimnissen bleiben unberührt.</w:t>
      </w:r>
    </w:p>
    <w:p>
      <w:r>
        <w:rPr>
          <w:color w:val="555555"/>
          <w:sz w:val="17"/>
        </w:rPr>
        <w:t xml:space="preserve">Zitiervorschlag: § 6 BNatSchG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https://recht.nulegal.eu/gesetze/BNatSchG%202009/6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