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45b BNatSchG 2009 — Betrieb von Windenergieanlagen an Land</w:t>
      </w:r>
    </w:p>
    <w:p>
      <w:r>
        <w:rPr>
          <w:color w:val="555555"/>
          <w:sz w:val="18"/>
        </w:rPr>
        <w:t xml:space="preserve">Bundesnaturschutzgesetz</w:t>
      </w:r>
    </w:p>
    <w:p>
      <w:r>
        <w:rPr>
          <w:color w:val="555555"/>
          <w:sz w:val="18"/>
        </w:rPr>
        <w:t xml:space="preserve">Stand: 29.07.2022 (konsolidierte Textfassung, kein amtliches Inkrafttretensdatum)</w:t>
      </w:r>
    </w:p>
    <w:p>
      <w:r>
        <w:t xml:space="preserve">(1) Für die fachliche Beurteilung, ob nach § 44 Absatz 5 Satz 2 Nummer 1 das Tötungs- und Verletzungsrisiko für Exemplare kollisionsgefährdeter Brutvogelarten im Umfeld ihrer Brutplätze durch den Betrieb von Windenergieanlagen signifikant erhöht ist, gelten die Maßgaben der Absätze 2 bis 5.</w:t>
      </w:r>
    </w:p>
    <w:p>
      <w:r>
        <w:t xml:space="preserve">(2) Liegt zwischen dem Brutplatz einer Brutvogelart und der Windenergieanlage ein Abstand, der geringer ist als der in Anlage 1 Abschnitt 1 für diese Brutvogelart festgelegte Nahbereich, so ist das Tötungs- und Verletzungsrisiko der den Brutplatz nutzenden Exemplare signifikant erhöht.</w:t>
      </w:r>
    </w:p>
    <w:p>
      <w:r>
        <w:t xml:space="preserve">(3) Liegt zwischen dem Brutplatz einer Brutvogelart und der Windenergieanlage ein Abstand, der größer als der Nahbereich und geringer als der zentrale Prüfbereich ist, die in Anlage 1 Abschnitt 1 für diese Brutvogelart festgelegt sind, so bestehen in der Regel Anhaltspunkte dafür, dass das Tötungs- und Verletzungsrisiko der den Brutplatz nutzenden Exemplare signifikant erhöht ist, soweit</w:t>
      </w:r>
    </w:p>
    <w:p>
      <w:pPr>
        <w:ind w:left="420"/>
      </w:pPr>
      <w:r>
        <w:t xml:space="preserve">1. eine signifikante Risikoerhöhung nicht auf der Grundlage einer Habitatpotentialanalyse oder einer auf Verlangen des Trägers des Vorhabens durchgeführten Raumnutzungsanalyse widerlegt werden kann oder</w:t>
      </w:r>
    </w:p>
    <w:p>
      <w:pPr>
        <w:ind w:left="420"/>
      </w:pPr>
      <w:r>
        <w:t xml:space="preserve">2. die signifikante Risikoerhöhung nicht durch fachlich anerkannte Schutzmaßnahmen hinreichend gemindert werden kann; werden entweder Antikollisionssysteme genutzt, Abschaltungen bei landwirtschaftlichen Ereignissen angeordnet, attraktive Ausweichnahrungshabitate angelegt oder phänologiebedingte Abschaltungen angeordnet, so ist für die betreffende Art in der Regel davon auszugehen, dass die Risikoerhöhung hinreichend gemindert wird.</w:t>
      </w:r>
    </w:p>
    <w:p>
      <w:r>
        <w:t xml:space="preserve">(4) Liegt zwischen dem Brutplatz einer Brutvogelart und der Windenergieanlage ein Abstand, der größer als der zentrale Prüfbereich und höchstens so groß ist wie der erweiterte Prüfbereich, die in Anlage 1 Abschnitt 1 für diese Brutvogelart festgelegt sind, so ist das Tötungs- und Verletzungsrisiko der den Brutplatz nutzenden Exemplare nicht signifikant erhöht, es sei denn,</w:t>
      </w:r>
    </w:p>
    <w:p>
      <w:pPr>
        <w:ind w:left="420"/>
      </w:pPr>
      <w:r>
        <w:t xml:space="preserve">1. die Aufenthaltswahrscheinlichkeit dieser Exemplare in dem vom Rotor überstrichenen Bereich der Windenergieanlage ist aufgrund artspezifischer Habitatnutzung oder funktionaler Beziehungen deutlich erhöht und</w:t>
      </w:r>
    </w:p>
    <w:p>
      <w:pPr>
        <w:ind w:left="420"/>
      </w:pPr>
      <w:r>
        <w:t xml:space="preserve">2. die signifikante Risikoerhöhung, die aus der erhöhten Aufenthaltswahrscheinlichkeit folgt, kann nicht durch fachlich anerkannte Schutzmaßnahmen hinreichend verringert werden.</w:t>
      </w:r>
    </w:p>
    <w:p>
      <w:r>
        <w:t xml:space="preserve">Zur Feststellung des Vorliegens eines Brutplatzes nach Satz 1 sind behördliche Kataster und behördliche Datenbanken heranzuziehen; Kartierungen durch den Vorhabenträger sind nicht erforderlich.</w:t>
      </w:r>
    </w:p>
    <w:p>
      <w:r>
        <w:t xml:space="preserve">(5) Liegt zwischen dem Brutplatz einer Brutvogelart und der Windenergieanlage ein Abstand, der größer als der in Anlage 1 Abschnitt 1 für diese Brutvogelart festgelegte erweiterte Prüfbereich ist, so ist das Tötungs- und Verletzungsrisiko der den Brutplatz nutzenden Exemplare nicht signifikant erhöht; Schutzmaßnahmen sind insoweit nicht erforderlich.</w:t>
      </w:r>
    </w:p>
    <w:p>
      <w:r>
        <w:t xml:space="preserve">(6) Fachlich anerkannte Schutzmaßnahmen für die in Anlage 1 Abschnitt 1 genannten Brutvogelarten sind insbesondere die in Anlage 1 Abschnitt 2 genannten Schutzmaßnahmen. Die Anordnung von Schutzmaßnahmen, die die Abschaltung von Windenergieanlagen betreffen, gilt unter Berücksichtigung weiterer Schutzmaßnahmen auch für andere besonders geschützte Arten als unzumutbar, soweit sie den Jahresenergieertrag verringern</w:t>
      </w:r>
    </w:p>
    <w:p>
      <w:pPr>
        <w:ind w:left="420"/>
      </w:pPr>
      <w:r>
        <w:t xml:space="preserve">1. um mehr als 8 Prozent bei Standorten mit einem Gütefaktor im Sinne des § 36h Absatz 1 Satz 5 des Erneuerbare-Energien-Gesetzes vom 21. Juli 2014, das zuletzt durch Artikel 4 des Gesetzes vom 20. Juli 2022 (BGBl. I S. 1353) geändert worden ist, von 90 Prozent oder mehr oder</w:t>
      </w:r>
    </w:p>
    <w:p>
      <w:pPr>
        <w:ind w:left="420"/>
      </w:pPr>
      <w:r>
        <w:t xml:space="preserve">2. im Übrigen um mehr als 6 Prozent.</w:t>
      </w:r>
    </w:p>
    <w:p>
      <w:r>
        <w:t xml:space="preserve">Die Berechnung nach Satz 2 erfolgt nach Anlage 2. Dabei werden Investitionskosten für Schutzmaßnahmen ab 17 000 Euro je Megawatt angerechnet. Schutzmaßnahmen, die im Sinne des Satzes 2 als unzumutbar gelten, können auf Verlangen des Trägers des Vorhabens angeordnet werden.</w:t>
      </w:r>
    </w:p>
    <w:p>
      <w:r>
        <w:t xml:space="preserve">(7) Nisthilfen für kollisionsgefährdete Vogel- und Fledermausarten dürfen in einem Umkreis von 1 500 Metern um errichtete Windenergieanlagen sowie innerhalb von Gebieten, die in einem Raumordnungsplan oder in einem Flächennutzungsplan für die Windenergienutzung ausgewiesen sind, nicht angebracht werden.</w:t>
      </w:r>
    </w:p>
    <w:p>
      <w:r>
        <w:t xml:space="preserve">(8) § 45 Absatz 7 gilt im Hinblick auf den Betrieb von Windenergieanlagen mit der Maßgabe, dass</w:t>
      </w:r>
    </w:p>
    <w:p>
      <w:pPr>
        <w:ind w:left="420"/>
      </w:pPr>
      <w:r>
        <w:t xml:space="preserve">1. der Betrieb von Windenergieanlagen im überragenden öffentlichen Interesse liegt und der öffentlichen Sicherheit dient,</w:t>
      </w:r>
    </w:p>
    <w:p>
      <w:pPr>
        <w:ind w:left="420"/>
      </w:pPr>
      <w:r>
        <w:t xml:space="preserve">2. bei einem Gebiet, das für die Windenergie ausgewiesen ist</w:t>
      </w:r>
    </w:p>
    <w:p>
      <w:pPr>
        <w:ind w:left="780"/>
      </w:pPr>
      <w:r>
        <w:t xml:space="preserve">a) in einem Raumordnungsplan oder</w:t>
      </w:r>
    </w:p>
    <w:p>
      <w:pPr>
        <w:ind w:left="780"/>
      </w:pPr>
      <w:r>
        <w:t xml:space="preserve">b) unter Berücksichtigung artenschutzrechtlicher Belange in einem Flächennutzungsplan,</w:t>
      </w:r>
    </w:p>
    <w:p>
      <w:pPr>
        <w:ind w:left="420"/>
      </w:pPr>
      <w:r>
        <w:t xml:space="preserve">Standortalternativen außerhalb dieses Gebietes in der Regel nicht im Sinne des § 45 Absatz 7 Satz 2 zumutbar sind, bis gemäß § 5 des Windenergieflächenbedarfsgesetzes festgestellt wurde, dass das jeweilige Land den Flächenbeitragswert nach Anlage 1 Spalte 2 des Windenergieflächenbedarfsgesetzes oder der jeweilige regionale oder kommunale Planungsträger ein daraus abgeleitetes Teilflächenziel erreicht hat,</w:t>
      </w:r>
    </w:p>
    <w:p>
      <w:pPr>
        <w:ind w:left="420"/>
      </w:pPr>
      <w:r>
        <w:t xml:space="preserve">3. bei einem Standort, der nicht in einem Gebiet im Sinne der Nummer 2 Buchstabe a oder b liegt, Standortalternativen außerhalb eines Radius von 20 Kilometern nicht nach § 45 Absatz 7 Satz 2 zumutbar sind, es sei denn, der vorgesehene Standort liegt in einem Natura 2000-Gebiet mit kollisionsgefährdeten oder störungsempfindlichen Vogel- oder Fledermausarten,</w:t>
      </w:r>
    </w:p>
    <w:p>
      <w:pPr>
        <w:ind w:left="420"/>
      </w:pPr>
      <w:r>
        <w:t xml:space="preserve">4. die Voraussetzungen des § 45 Absatz 7 Satz 2 hinsichtlich des Erhaltungszustands vorliegen, wenn sich der Zustand der durch das Vorhaben jeweils betroffenen lokalen Population unter Berücksichtigung von Maßnahmen zu dessen Sicherung nicht verschlechtert,</w:t>
      </w:r>
    </w:p>
    <w:p>
      <w:pPr>
        <w:ind w:left="420"/>
      </w:pPr>
      <w:r>
        <w:t xml:space="preserve">5. die Voraussetzungen des § 45 Absatz 7 Satz 2 hinsichtlich des Erhaltungszustands auch dann vorliegen, wenn auf Grundlage einer Beobachtung im Sinne des § 6 Absatz 2 zu erwarten ist, dass sich der Zustand der Populationen der betreffenden Art in dem betroffenen Land oder auf Bundesebene unter Berücksichtigung von Maßnahmen zu dessen Sicherung nicht verschlechtert,</w:t>
      </w:r>
    </w:p>
    <w:p>
      <w:pPr>
        <w:ind w:left="420"/>
      </w:pPr>
      <w:r>
        <w:t xml:space="preserve">6. eine Ausnahme von den Verboten des § 44 Absatz 1 zu erteilen ist, wenn die Voraussetzungen des § 45 Absatz 7 Satz 1 bis 3 vorliegen.</w:t>
      </w:r>
    </w:p>
    <w:p>
      <w:r>
        <w:t xml:space="preserve">(9) Wird eine Ausnahme nach § 45 Absatz 7 Satz 1 bis 3 erteilt, dürfen daneben fachlich anerkannte Schutzmaßnahmen für die in Anlage 1 Abschnitt 1 genannten Brutvogelarten, die die Abschaltung von Windenergieanlagen betreffen, unter Berücksichtigung weiterer Schutzmaßnahmen auch für andere besonders geschützte Arten, nur angeordnet werden, soweit sie den Jahresenergieertrag verringern</w:t>
      </w:r>
    </w:p>
    <w:p>
      <w:pPr>
        <w:ind w:left="420"/>
      </w:pPr>
      <w:r>
        <w:t xml:space="preserve">1. um höchstens 6 Prozent bei Standorten mit einem Gütefaktor im Sinne des § 36h Absatz 1 Satz 5 des Erneuerbare-Energien-Gesetzes von 90 Prozent oder mehr oder</w:t>
      </w:r>
    </w:p>
    <w:p>
      <w:pPr>
        <w:ind w:left="420"/>
      </w:pPr>
      <w:r>
        <w:t xml:space="preserve">2. im Übrigen um höchstens 4 Prozent.</w:t>
      </w:r>
    </w:p>
    <w:p>
      <w:r>
        <w:t xml:space="preserve">Die Berechnung nach Satz 1 erfolgt nach Anlage 2. Dabei werden Investitionskosten für Schutzmaßnahmen ab 17 000 Euro je Megawatt angerechnet.</w:t>
      </w:r>
    </w:p>
    <w:p>
      <w:r>
        <w:rPr>
          <w:color w:val="555555"/>
          <w:sz w:val="17"/>
        </w:rPr>
        <w:t xml:space="preserve">Zitiervorschlag: § 45b BNatSchG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https://recht.nulegal.eu/gesetze/BNatSchG%202009/45b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