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BNatSchG 2009 — Ausnahmen; Ermächtigung zum Erlass von Rechtsverordnungen</w:t>
      </w:r>
    </w:p>
    <w:p>
      <w:r>
        <w:rPr>
          <w:color w:val="555555"/>
          <w:sz w:val="18"/>
        </w:rPr>
        <w:t xml:space="preserve">Bundesnaturschutzgesetz</w:t>
      </w:r>
    </w:p>
    <w:p>
      <w:r>
        <w:rPr>
          <w:color w:val="555555"/>
          <w:sz w:val="18"/>
        </w:rPr>
        <w:t xml:space="preserve">Stand: 13.03.2020 (konsolidierte Textfassung, kein amtliches Inkrafttretensdatum)</w:t>
      </w:r>
    </w:p>
    <w:p>
      <w:r>
        <w:t xml:space="preserve">(1) Von den Besitzverboten sind, soweit sich aus einer Rechtsverordnung nach § 54 Absatz 5 nichts anderes ergibt, ausgenommen</w:t>
      </w:r>
    </w:p>
    <w:p>
      <w:pPr>
        <w:ind w:left="420"/>
      </w:pPr>
      <w:r>
        <w:t xml:space="preserve">1. Tiere und Pflanzen der besonders geschützten Arten, die rechtmäßig</w:t>
      </w:r>
    </w:p>
    <w:p>
      <w:pPr>
        <w:ind w:left="780"/>
      </w:pPr>
      <w:r>
        <w:t xml:space="preserve">a) in der Gemeinschaft gezüchtet und nicht herrenlos geworden sind, durch künstliche Vermehrung gewonnen oder aus der Natur entnommen worden sind,</w:t>
      </w:r>
    </w:p>
    <w:p>
      <w:pPr>
        <w:ind w:left="780"/>
      </w:pPr>
      <w:r>
        <w:t xml:space="preserve">b) aus Drittstaaten in die Gemeinschaft gelangt sind,</w:t>
      </w:r>
    </w:p>
    <w:p>
      <w:pPr>
        <w:ind w:left="420"/>
      </w:pPr>
      <w:r>
        <w:t xml:space="preserve">2. Tiere und Pflanzen der Arten, die in einer Rechtsverordnung nach § 54 Absatz 4 aufgeführt und vor ihrer Aufnahme in die Rechtsverordnung rechtmäßig in der Gemeinschaft erworben worden sind.</w:t>
      </w:r>
    </w:p>
    <w:p>
      <w:r>
        <w:t xml:space="preserve">Satz 1 Nummer 1 Buchstabe b gilt nicht für Tiere und Pflanzen der Arten im Sinne des § 7 Absatz 2 Nummer 13 Buchstabe b, die nach dem 3. April 2002 ohne eine Ausnahme oder Befreiung nach § 43 Absatz 8 Satz 2 oder § 62 des Bundesnaturschutzgesetzes in der bis zum 1. März 2010 geltenden Fassung oder nach dem 1. März 2010 ohne eine Ausnahme nach Absatz 8 aus einem Drittstaat unmittelbar in das Inland gelangt sind. Abweichend von Satz 2 dürfen tote Vögel von europäischen Vogelarten im Sinne des § 7 Absatz 2 Nummer 13 Buchstabe b Doppelbuchstabe bb, soweit diese nach § 2 Absatz 1 des Bundesjagdgesetzes dem Jagdrecht unterliegen, zum persönlichen Gebrauch oder als Hausrat ohne eine Ausnahme oder Befreiung aus einem Drittstaat unmittelbar in das Inland verbracht werden.</w:t>
      </w:r>
    </w:p>
    <w:p>
      <w:r>
        <w:t xml:space="preserve">(2) Soweit nach Absatz 1 Tiere und Pflanzen der besonders geschützten Arten keinen Besitzverboten unterliegen, sind sie auch von den Vermarktungsverboten ausgenommen. Dies gilt vorbehaltlich einer Rechtsverordnung nach § 54 Absatz 5 nicht für aus der Natur entnommene</w:t>
      </w:r>
    </w:p>
    <w:p>
      <w:pPr>
        <w:ind w:left="420"/>
      </w:pPr>
      <w:r>
        <w:t xml:space="preserve">1. Tiere und Pflanzen der streng geschützten Arten und</w:t>
      </w:r>
    </w:p>
    <w:p>
      <w:pPr>
        <w:ind w:left="420"/>
      </w:pPr>
      <w:r>
        <w:t xml:space="preserve">2. Tiere europäischer Vogelarten.</w:t>
      </w:r>
    </w:p>
    <w:p>
      <w:r>
        <w:t xml:space="preserve">(3) Von den Vermarktungsverboten sind auch ausgenommen</w:t>
      </w:r>
    </w:p>
    <w:p>
      <w:pPr>
        <w:ind w:left="420"/>
      </w:pPr>
      <w:r>
        <w:t xml:space="preserve">1. Tiere und Pflanzen der streng geschützten Arten, die vor ihrer Unterschutzstellung als vom Aussterben bedrohte oder streng geschützte Arten rechtmäßig erworben worden sind,</w:t>
      </w:r>
    </w:p>
    <w:p>
      <w:pPr>
        <w:ind w:left="420"/>
      </w:pPr>
      <w:r>
        <w:t xml:space="preserve">2. Tiere europäischer Vogelarten, die vor dem 6. April 1981 rechtmäßig erworben worden oder in Anhang III Teil A der Richtlinie 2009/147/EG aufgeführt sind,</w:t>
      </w:r>
    </w:p>
    <w:p>
      <w:pPr>
        <w:ind w:left="420"/>
      </w:pPr>
      <w:r>
        <w:t xml:space="preserve">3. Tiere und Pflanzen der Arten, die den Richtlinien 92/43/EWG und 2009/147/EG unterliegen und die in einem Mitgliedstaat in Übereinstimmung mit den Richtlinien zu den in § 44 Absatz 2 Satz 1 Nummer 2 genannten Handlungen freigegeben worden sind.</w:t>
      </w:r>
    </w:p>
    <w:p>
      <w:r>
        <w:t xml:space="preserve">(4) Abweichend von den Besitz- und Vermarktungsverboten ist es vorbehaltlich jagd- und fischereirechtlicher Vorschriften zulässig, tot aufgefundene Tiere und Pflanzen aus der Natur zu entnehmen und an die von der für Naturschutz und Landschaftspflege zuständigen Behörde bestimmte Stelle abzugeben oder, soweit sie nicht zu den streng geschützten Arten gehören, für Zwecke der Forschung oder Lehre oder zur Präparation für diese Zwecke zu verwenden.</w:t>
      </w:r>
    </w:p>
    <w:p>
      <w:r>
        <w:t xml:space="preserve">(5) Abweichend von den Verboten des § 44 Absatz 1 Nummer 1 sowie den Besitzverboten ist es vorbehaltlich jagdrechtlicher Vorschriften ferner zulässig, verletzte, hilflose oder kranke Tiere aufzunehmen, um sie gesund zu pflegen. Die Tiere sind unverzüglich freizulassen, sobald sie sich selbständig erhalten können. Im Übrigen sind sie an die von der für Naturschutz und Landschaftspflege zuständigen Behörde bestimmte Stelle abzugeben. Handelt es sich um Tiere der streng geschützten Arten, so hat der Besitzer die Aufnahme des Tieres der für Naturschutz und Landschaftspflege zuständigen Behörde zu melden. Diese kann die Herausgabe des aufgenommenen Tieres verlangen.</w:t>
      </w:r>
    </w:p>
    <w:p>
      <w:r>
        <w:t xml:space="preserve">(6) Die nach Landesrecht zuständigen Behörden können Ausnahmen von den Besitz- und Vermarktungsverboten zulassen, soweit dies für die Verwertung beschlagnahmter oder eingezogener Tiere und Pflanzen erforderlich ist und Rechtsakte der Europäischen Gemeinschaft dem nicht entgegenstehen. Ist für die Beschlagnahme oder Einziehung eine Bundesbehörde zuständig, kann diese Behörde Ausnahmen von den Besitz- und Vermarktungsverboten im Sinne von Satz 1 zulassen.</w:t>
      </w:r>
    </w:p>
    <w:p>
      <w:r>
        <w:t xml:space="preserve">(7) Die für Naturschutz und Landschaftspflege zuständigen Behörden sowie im Fall des Verbringens aus dem Ausland das Bundesamt für Naturschutz können von den Verboten des § 44 im Einzelfall weitere Ausnahmen zulassen</w:t>
      </w:r>
    </w:p>
    <w:p>
      <w:pPr>
        <w:ind w:left="420"/>
      </w:pPr>
      <w:r>
        <w:t xml:space="preserve">1. zur Abwendung ernster land-, forst-, fischerei oder wasserwirtschaftlicher oder sonstiger ernster wirtschaftlicher Schäden,</w:t>
      </w:r>
    </w:p>
    <w:p>
      <w:pPr>
        <w:ind w:left="420"/>
      </w:pPr>
      <w:r>
        <w:t xml:space="preserve">2. zum Schutz der natürlich vorkommenden Tier- und Pflanzenwelt,</w:t>
      </w:r>
    </w:p>
    <w:p>
      <w:pPr>
        <w:ind w:left="420"/>
      </w:pPr>
      <w:r>
        <w:t xml:space="preserve">3. für Zwecke der Forschung, Lehre, Bildung oder Wiederansiedlung oder diesen Zwecken dienende Maßnahmen der Aufzucht oder künstlichen Vermehrung,</w:t>
      </w:r>
    </w:p>
    <w:p>
      <w:pPr>
        <w:ind w:left="420"/>
      </w:pPr>
      <w:r>
        <w:t xml:space="preserve">4. im Interesse der Gesundheit des Menschen, der öffentlichen Sicherheit, einschließlich der Verteidigung und des Schutzes der Zivilbevölkerung, oder der maßgeblich günstigen Auswirkungen auf die Umwelt oder</w:t>
      </w:r>
    </w:p>
    <w:p>
      <w:pPr>
        <w:ind w:left="420"/>
      </w:pPr>
      <w:r>
        <w:t xml:space="preserve">5. aus anderen zwingenden Gründen des überwiegenden öffentlichen Interesses einschließlich solcher sozialer oder wirtschaftlicher Art.</w:t>
      </w:r>
    </w:p>
    <w:p>
      <w:r>
        <w:t xml:space="preserve">Eine Ausnahme darf nur zugelassen werden, wenn zumutbare Alternativen nicht gegeben sind und sich der Erhaltungszustand der Populationen einer Art nicht verschlechtert, soweit nicht Artikel 16 Absatz 1 der Richtlinie 92/43/EWG weiter gehende Anforderungen enthält. Artikel 16 Absatz 3 der Richtlinie 92/43/EWG und Artikel 9 Absatz 2 der Richtlinie 2009/147/EG sind zu beachten. Die Landesregierungen können Ausnahmen auch allgemein durch Rechtsverordnung zulassen. Sie können die Ermächtigung nach Satz 4 durch Rechtsverordnung auf andere Landesbehörden übertragen.</w:t>
      </w:r>
    </w:p>
    <w:p>
      <w:r>
        <w:t xml:space="preserve">(8) Das Bundesamt für Naturschutz kann im Fall des Verbringens aus dem Ausland von den Verboten des § 44 unter den Voraussetzungen des Absatzes 7 Satz 2 und 3 im Einzelfall weitere Ausnahmen zulassen, um unter kontrollierten Bedingungen und in beschränktem Ausmaß eine vernünftige Nutzung von Tieren und Pflanzen bestimmter Arten im Sinne des § 7 Absatz 2 Nummer 13 Buchstabe b sowie für gezüchtete und künstlich vermehrte Tiere oder Pflanzen dieser Arten zu ermöglichen.</w:t>
      </w:r>
    </w:p>
    <w:p>
      <w:r>
        <w:rPr>
          <w:color w:val="555555"/>
          <w:sz w:val="17"/>
        </w:rPr>
        <w:t xml:space="preserve">Zitiervorschlag: § 45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BNatSchG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