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BNatSchG 2009 — Vorschriften für besonders geschützte und bestimmte andere Tier- und Pflanzenarten</w:t>
      </w:r>
    </w:p>
    <w:p>
      <w:r>
        <w:rPr>
          <w:color w:val="555555"/>
          <w:sz w:val="18"/>
        </w:rPr>
        <w:t xml:space="preserve">Bundesnaturschutzgesetz</w:t>
      </w:r>
    </w:p>
    <w:p>
      <w:r>
        <w:rPr>
          <w:color w:val="555555"/>
          <w:sz w:val="18"/>
        </w:rPr>
        <w:t xml:space="preserve">Stand: 10.06.2019 (konsolidierte Textfassung, kein amtliches Inkrafttretensdatum)</w:t>
      </w:r>
    </w:p>
    <w:p>
      <w:r>
        <w:t xml:space="preserve">(1) Es ist verboten,</w:t>
      </w:r>
    </w:p>
    <w:p>
      <w:pPr>
        <w:ind w:left="420"/>
      </w:pPr>
      <w:r>
        <w:t xml:space="preserve">1. wild lebenden Tieren der besonders geschützten Arten nachzustellen, sie zu fangen, zu verletzen oder zu töten oder ihre Entwicklungsformen aus der Natur zu entnehmen, zu beschädigen oder zu zerstören,</w:t>
      </w:r>
    </w:p>
    <w:p>
      <w:pPr>
        <w:ind w:left="420"/>
      </w:pPr>
      <w:r>
        <w:t xml:space="preserve">2. wild lebende Tiere der streng geschützten Arten und der europäischen Vogelarten während der Fortpflanzungs-, Aufzucht-, Mauser-, Überwinterungs- und Wanderungszeiten erheblich zu stören; eine erhebliche Störung liegt vor, wenn sich durch die Störung der Erhaltungszustand der lokalen Population einer Art verschlechtert,</w:t>
      </w:r>
    </w:p>
    <w:p>
      <w:pPr>
        <w:ind w:left="420"/>
      </w:pPr>
      <w:r>
        <w:t xml:space="preserve">3. Fortpflanzungs- oder Ruhestätten der wild lebenden Tiere der besonders geschützten Arten aus der Natur zu entnehmen, zu beschädigen oder zu zerstören,</w:t>
      </w:r>
    </w:p>
    <w:p>
      <w:pPr>
        <w:ind w:left="420"/>
      </w:pPr>
      <w:r>
        <w:t xml:space="preserve">4. wild lebende Pflanzen der besonders geschützten Arten oder ihre Entwicklungsformen aus der Natur zu entnehmen, sie oder ihre Standorte zu beschädigen oder zu zerstören</w:t>
      </w:r>
    </w:p>
    <w:p>
      <w:r>
        <w:t xml:space="preserve">(Zugriffsverbote).</w:t>
      </w:r>
    </w:p>
    <w:p>
      <w:r>
        <w:t xml:space="preserve">(2) Es ist ferner verboten,</w:t>
      </w:r>
    </w:p>
    <w:p>
      <w:pPr>
        <w:ind w:left="420"/>
      </w:pPr>
      <w:r>
        <w:t xml:space="preserve">1. Tiere und Pflanzen der besonders geschützten Arten in Besitz oder Gewahrsam zu nehmen, in Besitz oder Gewahrsam zu haben oder zu be- oder verarbeiten(Besitzverbote),</w:t>
      </w:r>
    </w:p>
    <w:p>
      <w:pPr>
        <w:ind w:left="420"/>
      </w:pPr>
      <w:r>
        <w:t xml:space="preserve">2. Tiere und Pflanzen der besonders geschützten Arten im Sinne des § 7 Absatz 2 Nummer 13 Buchstabe b und c</w:t>
      </w:r>
    </w:p>
    <w:p>
      <w:pPr>
        <w:ind w:left="780"/>
      </w:pPr>
      <w:r>
        <w:t xml:space="preserve">a) zu verkaufen, zu kaufen, zum Verkauf oder Kauf anzubieten, zum Verkauf vorrätig zu halten oder zu befördern, zu tauschen oder entgeltlich zum Gebrauch oder zur Nutzung zu überlassen,</w:t>
      </w:r>
    </w:p>
    <w:p>
      <w:pPr>
        <w:ind w:left="780"/>
      </w:pPr>
      <w:r>
        <w:t xml:space="preserve">b) zu kommerziellen Zwecken zu erwerben, zur Schau zu stellen oder auf andere Weise zu verwenden</w:t>
      </w:r>
    </w:p>
    <w:p>
      <w:pPr>
        <w:ind w:left="420"/>
      </w:pPr>
      <w:r>
        <w:t xml:space="preserve">(Vermarktungsverbote).</w:t>
      </w:r>
    </w:p>
    <w:p>
      <w:r>
        <w:t xml:space="preserve">Artikel 9 der Verordnung (EG) Nr. 338/97 bleibt unberührt.</w:t>
      </w:r>
    </w:p>
    <w:p>
      <w:r>
        <w:t xml:space="preserve">(3) Die Besitz- und Vermarktungsverbote gelten auch für Waren im Sinne des Anhangs der Richtlinie 83/129/EWG, die entgegen den Artikeln 1 und 3 dieser Richtlinie nach dem 30. September 1983 in die Gemeinschaft gelangt sind.</w:t>
      </w:r>
    </w:p>
    <w:p>
      <w:r>
        <w:t xml:space="preserve">(4) Entspricht die land-, forst- und fischereiwirtschaftliche Bodennutzung und die Verwertung der dabei gewonnenen Erzeugnisse den in § 5 Absatz 2 bis 4 dieses Gesetzes genannten Anforderungen sowie den sich aus § 17 Absatz 2 des Bundes-Bodenschutzgesetzes und dem Recht der Land-, Forst- und Fischereiwirtschaft ergebenden Anforderungen an die gute fachliche Praxis, verstößt sie nicht gegen die Zugriffs-, Besitz- und Vermarktungsverbote. Sind in Anhang IV der Richtlinie 92/43/EWG aufgeführte Arten, europäische Vogelarten oder solche Arten, die in einer Rechtsverordnung nach § 54 Absatz 1 Nummer 2 aufgeführt sind, betroffen, gilt dies nur, soweit sich der Erhaltungszustand der lokalen Population einer Art durch die Bewirtschaftung nicht verschlechtert. Soweit dies nicht durch anderweitige Schutzmaßnahmen, insbesondere durch Maßnahmen des Gebietsschutzes, Artenschutzprogramme, vertragliche Vereinbarungen oder gezielte Aufklärung sichergestellt ist, ordnet die zuständige Behörde gegenüber den verursachenden Land-, Forst- oder Fischwirten die erforderlichen Bewirtschaftungsvorgaben an. Befugnisse nach Landesrecht zur Anordnung oder zum Erlass entsprechender Vorgaben durch Allgemeinverfügung oder Rechtsverordnung bleiben unberührt.</w:t>
      </w:r>
    </w:p>
    <w:p>
      <w:r>
        <w:t xml:space="preserve">(5) Für nach § 15 Absatz 1 unvermeidbare Beeinträchtigungen durch Eingriffe in Natur und Landschaft, die nach § 17 Absatz 1 oder Absatz 3 zugelassen oder von einer Behörde durchgeführt werden, sowie für Vorhaben im Sinne des § 18 Absatz 2 Satz 1 gelten die Zugriffs-, Besitz- und Vermarktungsverbote nach Maßgabe der Sätze 2 bis 5. Sind in Anhang IV Buchstabe a der Richtlinie 92/43/EWG aufgeführte Tierarten, europäische Vogelarten oder solche Arten betroffen, die in einer Rechtsverordnung nach § 54 Absatz 1 Nummer 2 aufgeführt sind, liegt ein Verstoß gegen</w:t>
      </w:r>
    </w:p>
    <w:p>
      <w:pPr>
        <w:ind w:left="420"/>
      </w:pPr>
      <w:r>
        <w:t xml:space="preserve">1. das Tötungs- und Verletzungsverbot nach Absatz 1 Nummer 1 nicht vor, wenn die Beeinträchtigung durch den Eingriff oder das Vorhaben das Tötungs- und Verletzungsrisiko für Exemplare der betroffenen Arten nicht signifikant erhöht und diese Beeinträchtigung bei Anwendung der gebotenen, fachlich anerkannten Schutzmaßnahmen nicht vermieden werden kann,</w:t>
      </w:r>
    </w:p>
    <w:p>
      <w:pPr>
        <w:ind w:left="420"/>
      </w:pPr>
      <w:r>
        <w:t xml:space="preserve">2. das Verbot des Nachstellens und Fangens wild lebender Tiere und der Entnahme, Beschädigung oder Zerstörung ihrer Entwicklungsformen nach Absatz 1 Nummer 1 nicht vor, wenn die Tiere oder ihre Entwicklungsformen im Rahmen einer erforderlichen Maßnahme, die auf den Schutz der Tiere vor Tötung oder Verletzung oder ihrer Entwicklungsformen vor Entnahme, Beschädigung oder Zerstörung und die Erhaltung der ökologischen Funktion der Fortpflanzungs- oder Ruhestätten im räumlichen Zusammenhang gerichtet ist, beeinträchtigt werden und diese Beeinträchtigungen unvermeidbar sind,</w:t>
      </w:r>
    </w:p>
    <w:p>
      <w:pPr>
        <w:ind w:left="420"/>
      </w:pPr>
      <w:r>
        <w:t xml:space="preserve">3. das Verbot nach Absatz 1 Nummer 3 nicht vor, wenn die ökologische Funktion der von dem Eingriff oder Vorhaben betroffenen Fortpflanzungs- und Ruhestätten im räumlichen Zusammenhang weiterhin erfüllt wird.</w:t>
      </w:r>
    </w:p>
    <w:p>
      <w:r>
        <w:t xml:space="preserve">Soweit erforderlich, können auch vorgezogene Ausgleichsmaßnahmen festgelegt werden. Für Standorte wild lebender Pflanzen der in Anhang IV Buchstabe b der Richtlinie 92/43/EWG aufgeführten Arten gelten die Sätze 2 und 3 entsprechend. Sind andere besonders geschützte Arten betroffen, liegt bei Handlungen zur Durchführung eines Eingriffs oder Vorhabens kein Verstoß gegen die Zugriffs-, Besitz- und Vermarktungsverbote vor.</w:t>
      </w:r>
    </w:p>
    <w:p>
      <w:r>
        <w:t xml:space="preserve">(6) Die Zugriffs- und Besitzverbote gelten nicht für Handlungen zur Vorbereitung gesetzlich vorgeschriebener Prüfungen, die von fachkundigen Personen unter größtmöglicher Schonung der untersuchten Exemplare und der übrigen Tier- und Pflanzenwelt im notwendigen Umfang vorgenommen werden. Die Anzahl der verletzten oder getöteten Exemplare von europäischen Vogelarten und Arten der in Anhang IV Buchstabe a der Richtlinie 92/43/EWG aufgeführten Tierarten ist von der fachkundigen Person der für Naturschutz und Landschaftspflege zuständigen Behörde jährlich mitzuteilen.</w:t>
      </w:r>
    </w:p>
    <w:p>
      <w:r>
        <w:rPr>
          <w:color w:val="555555"/>
          <w:sz w:val="17"/>
        </w:rPr>
        <w:t xml:space="preserve">Zitiervorschlag: § 44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