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BNatSchG 2009 — Allgemeine Vorschriften für den Arten-, Lebensstätten- und Biotopschutz</w:t>
      </w:r>
    </w:p>
    <w:p>
      <w:r>
        <w:rPr>
          <w:color w:val="555555"/>
          <w:sz w:val="18"/>
        </w:rPr>
        <w:t xml:space="preserve">Bundesnaturschutzgesetz</w:t>
      </w:r>
    </w:p>
    <w:p>
      <w:r>
        <w:rPr>
          <w:color w:val="555555"/>
          <w:sz w:val="18"/>
        </w:rPr>
        <w:t xml:space="preserve">Stand: 10.06.2019 (konsolidierte Textfassung, kein amtliches Inkrafttretensdatum)</w:t>
      </w:r>
    </w:p>
    <w:p>
      <w:r>
        <w:t xml:space="preserve">(1) Zur Vorbereitung und Durchführung der Aufgaben nach § 37 Absatz 1 erstellen die für Naturschutz und Landschaftspflege zuständigen Behörden des Bundes und der Länder auf der Grundlage der Beobachtung nach § 6 Schutz-, Pflege- und Entwicklungsziele und verwirklichen sie.</w:t>
      </w:r>
    </w:p>
    <w:p>
      <w:r>
        <w:t xml:space="preserve">(2) Soweit dies zur Umsetzung völker- und gemeinschaftsrechtlicher Vorgaben oder zum Schutz von Arten, die in einer Rechtsverordnung nach § 54 Absatz 1 Nummer 2 aufgeführt sind, einschließlich deren Lebensstätten, erforderlich ist, ergreifen die für Naturschutz und Landschaftspflege zuständigen Behörden des Bundes und der Länder wirksame und aufeinander abgestimmte vorbeugende Schutzmaßnahmen oder stellen Artenhilfsprogramme auf. Sie treffen die erforderlichen Maßnahmen, um sicherzustellen, dass der unbeabsichtigte Fang oder das unbeabsichtigte Töten keine erheblichen nachteiligen Auswirkungen auf die streng geschützten Arten haben.</w:t>
      </w:r>
    </w:p>
    <w:p>
      <w:r>
        <w:t xml:space="preserve">(3) Die erforderliche Forschung und die notwendigen wissenschaftlichen Arbeiten im Sinne des Artikels 18 der Richtlinie 92/43/EWG und des Artikels 10 der Richtlinie 2009/147/EG werden gefördert.</w:t>
      </w:r>
    </w:p>
    <w:p>
      <w:r>
        <w:rPr>
          <w:color w:val="555555"/>
          <w:sz w:val="17"/>
        </w:rPr>
        <w:t xml:space="preserve">Zitiervorschlag: § 38 BNatSchG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https://recht.nulegal.eu/gesetze/BNatSchG%202009/38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