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BNatSchG 2009 — Allgemeine Schutzvorschriften</w:t>
      </w:r>
    </w:p>
    <w:p>
      <w:r>
        <w:rPr>
          <w:color w:val="555555"/>
          <w:sz w:val="18"/>
        </w:rPr>
        <w:t xml:space="preserve">Bundesnaturschutzgesetz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Veränderungen und Störungen, die zu einer erheblichen Beeinträchtigung eines Natura 2000-Gebiets in seinen für die Erhaltungsziele oder den Schutzzweck maßgeblichen Bestandteilen führen können, sind unzulässig. Die für Naturschutz und Landschaftspflege zuständige Behörde kann unter den Voraussetzungen des § 34 Absatz 3 bis 5 Ausnahmen von dem Verbot des Satzes 1 sowie von Verboten im Sinne des § 32 Absatz 3 zulassen.</w:t>
      </w:r>
    </w:p>
    <w:p>
      <w:r>
        <w:t xml:space="preserve">(1a) In Natura 2000-Gebieten ist die Errichtung von Anlagen zu folgenden Zwecken verboten:</w:t>
      </w:r>
    </w:p>
    <w:p>
      <w:pPr>
        <w:ind w:left="420"/>
      </w:pPr>
      <w:r>
        <w:t xml:space="preserve">1. zum Aufbrechen von Schiefer-, Ton- oder Mergelgestein oder von Kohleflözgestein unter hydraulischem Druck zur Aufsuchung oder Gewinnung von Erdgas,</w:t>
      </w:r>
    </w:p>
    <w:p>
      <w:pPr>
        <w:ind w:left="420"/>
      </w:pPr>
      <w:r>
        <w:t xml:space="preserve">2. zur untertägigen Ablagerung von Lagerstättenwasser, das bei Maßnahmen nach Nummer 1 anfällt.</w:t>
      </w:r>
    </w:p>
    <w:p>
      <w:r>
        <w:t xml:space="preserve">§ 34 findet insoweit keine Anwendung.</w:t>
      </w:r>
    </w:p>
    <w:p>
      <w:r>
        <w:t xml:space="preserve">(2) Bei einem Gebiet im Sinne des Artikels 5 Absatz 1 der Richtlinie 92/43/EWG gilt während der Konzertierungsphase bis zur Beschlussfassung des Rates Absatz 1 Satz 1 im Hinblick auf die in ihm vorkommenden prioritären natürlichen Lebensraumtypen und prioritären Arten entsprechend. Die §§ 34 und 36 finden keine Anwendung.</w:t>
      </w:r>
    </w:p>
    <w:p>
      <w:r>
        <w:rPr>
          <w:color w:val="555555"/>
          <w:sz w:val="17"/>
        </w:rPr>
        <w:t xml:space="preserve">Zitiervorschlag: § 33 BNatSchG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https://recht.nulegal.eu/gesetze/BNatSchG%202009/33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