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 BNatSchG 2009 — Biotopverbund, Biotopvernetzung</w:t>
      </w:r>
    </w:p>
    <w:p>
      <w:r>
        <w:rPr>
          <w:color w:val="555555"/>
          <w:sz w:val="18"/>
        </w:rPr>
        <w:t xml:space="preserve">Bundesnaturschutzgesetz</w:t>
      </w:r>
    </w:p>
    <w:p>
      <w:r>
        <w:rPr>
          <w:color w:val="555555"/>
          <w:sz w:val="18"/>
        </w:rPr>
        <w:t xml:space="preserve">Stand: 10.06.2019 (konsolidierte Textfassung, kein amtliches Inkrafttretensdatum)</w:t>
      </w:r>
    </w:p>
    <w:p>
      <w:r>
        <w:t xml:space="preserve">(1) Der Biotopverbund dient der dauerhaften Sicherung der Populationen wild lebender Tiere und Pflanzen einschließlich ihrer Lebensstätten, Biotope und Lebensgemeinschaften sowie der Bewahrung, Wiederherstellung und Entwicklung funktionsfähiger ökologischer Wechselbeziehungen. Er soll auch zur Verbesserung des Zusammenhangs des Netzes „Natura 2000“ beitragen.</w:t>
      </w:r>
    </w:p>
    <w:p>
      <w:r>
        <w:t xml:space="preserve">(2) Der Biotopverbund soll länderübergreifend erfolgen. Die Länder stimmen sich hierzu untereinander ab.</w:t>
      </w:r>
    </w:p>
    <w:p>
      <w:r>
        <w:t xml:space="preserve">(3) Der Biotopverbund besteht aus Kernflächen, Verbindungsflächen und Verbindungselementen. Bestandteile des Biotopverbunds sind</w:t>
      </w:r>
    </w:p>
    <w:p>
      <w:pPr>
        <w:ind w:left="420"/>
      </w:pPr>
      <w:r>
        <w:t xml:space="preserve">1. Nationalparke und Nationale Naturmonumente,</w:t>
      </w:r>
    </w:p>
    <w:p>
      <w:pPr>
        <w:ind w:left="420"/>
      </w:pPr>
      <w:r>
        <w:t xml:space="preserve">2. Naturschutzgebiete, Natura 2000-Gebiete und Biosphärenreservate oder Teile dieser Gebiete,</w:t>
      </w:r>
    </w:p>
    <w:p>
      <w:pPr>
        <w:ind w:left="420"/>
      </w:pPr>
      <w:r>
        <w:t xml:space="preserve">3. gesetzlich geschützte Biotope im Sinne des § 30,</w:t>
      </w:r>
    </w:p>
    <w:p>
      <w:pPr>
        <w:ind w:left="420"/>
      </w:pPr>
      <w:r>
        <w:t xml:space="preserve">4. weitere Flächen und Elemente, einschließlich solcher des Nationalen Naturerbes, des Grünen Bandes sowie Teilen von Landschaftsschutzgebieten und Naturparken,</w:t>
      </w:r>
    </w:p>
    <w:p>
      <w:r>
        <w:t xml:space="preserve">wenn sie zur Erreichung des in Absatz 1 genannten Zieles geeignet sind.</w:t>
      </w:r>
    </w:p>
    <w:p>
      <w:r>
        <w:t xml:space="preserve">(4) Die erforderlichen Kernflächen, Verbindungsflächen und Verbindungselemente sind durch Erklärung zu geschützten Teilen von Natur und Landschaft im Sinne des § 20 Absatz 2, durch planungsrechtliche Festlegungen, durch langfristige vertragliche Vereinbarungen oder andere geeignete Maßnahmen rechtlich zu sichern, um den Biotopverbund dauerhaft zu gewährleisten.</w:t>
      </w:r>
    </w:p>
    <w:p>
      <w:r>
        <w:t xml:space="preserve">(5) Unbeschadet des § 30 sind die oberirdischen Gewässer einschließlich ihrer Randstreifen, Uferzonen und Auen als Lebensstätten und Biotope für natürlich vorkommende Tier- und Pflanzenarten zu erhalten. Sie sind so weiterzuentwickeln, dass sie ihre großräumige Vernetzungsfunktion auf Dauer erfüllen können.</w:t>
      </w:r>
    </w:p>
    <w:p>
      <w:r>
        <w:t xml:space="preserve">(6) Auf regionaler Ebene sind insbesondere in von der Landwirtschaft geprägten Landschaften zur Vernetzung von Biotopen erforderliche lineare und punktförmige Elemente, insbesondere Hecken und Feldraine sowie Trittsteinbiotope, zu erhalten und dort, wo sie nicht in ausreichendem Maße vorhanden sind, zu schaffen (Biotopvernetzung).</w:t>
      </w:r>
    </w:p>
    <w:p>
      <w:r>
        <w:rPr>
          <w:color w:val="555555"/>
          <w:sz w:val="17"/>
        </w:rPr>
        <w:t xml:space="preserve">Zitiervorschlag: § 21 BNatSchG 2009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https://recht.nulegal.eu/gesetze/BNatSchG%202009/21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