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BNatSchG 2009 — Bevorratung von Kompensationsmaßnahmen</w:t>
      </w:r>
    </w:p>
    <w:p>
      <w:r>
        <w:rPr>
          <w:color w:val="555555"/>
          <w:sz w:val="18"/>
        </w:rPr>
        <w:t xml:space="preserve">Bundesnaturschutzgesetz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Maßnahmen des Naturschutzes und der Landschaftspflege, die im Hinblick auf zu erwartende Eingriffe durchgeführt worden sind, sind als Ausgleichs- oder Ersatzmaßnahmen anzuerkennen, soweit</w:t>
      </w:r>
    </w:p>
    <w:p>
      <w:pPr>
        <w:ind w:left="420"/>
      </w:pPr>
      <w:r>
        <w:t xml:space="preserve">1. die Voraussetzungen des § 15 Absatz 2 erfüllt sind,</w:t>
      </w:r>
    </w:p>
    <w:p>
      <w:pPr>
        <w:ind w:left="420"/>
      </w:pPr>
      <w:r>
        <w:t xml:space="preserve">2. sie ohne rechtliche Verpflichtung durchgeführt wurden,</w:t>
      </w:r>
    </w:p>
    <w:p>
      <w:pPr>
        <w:ind w:left="420"/>
      </w:pPr>
      <w:r>
        <w:t xml:space="preserve">3. dafür keine öffentlichen Fördermittel in Anspruch genommen wurden,</w:t>
      </w:r>
    </w:p>
    <w:p>
      <w:pPr>
        <w:ind w:left="420"/>
      </w:pPr>
      <w:r>
        <w:t xml:space="preserve">4. sie Programmen und Plänen nach den §§ 10 und 11 nicht widersprechen und</w:t>
      </w:r>
    </w:p>
    <w:p>
      <w:pPr>
        <w:ind w:left="420"/>
      </w:pPr>
      <w:r>
        <w:t xml:space="preserve">5. eine Dokumentation des Ausgangszustands der Flächen vorliegt; Vorschriften der Länder zu den Anforderungen an die Dokumentation bleiben unberührt.</w:t>
      </w:r>
    </w:p>
    <w:p>
      <w:r>
        <w:t xml:space="preserve">Absatz 1 Satz 1 Nummer 3 ist nicht auf durchgeführte oder zugelassene Maßnahmen des Naturschutzes und der Landschaftspflege anzuwenden, die der Kompensation von zu erwartenden Eingriffen durch Maßnahmen des Küsten- oder Hochwasserschutzes dienen und durch Träger von Küsten- oder Hochwasserschutzvorhaben durchgeführt werden oder durchgeführt worden sind.</w:t>
      </w:r>
    </w:p>
    <w:p>
      <w:r>
        <w:t xml:space="preserve">(2) Die Bevorratung von vorgezogenen Ausgleichs- und Ersatzmaßnahmen mittels Ökokonten, Flächenpools oder anderer Maßnahmen, insbesondere die Erfassung, Bewertung oder Buchung vorgezogener Ausgleichs- und Ersatzmaßnahmen in Ökokonten, deren Genehmigungsbedürftigkeit und Handelbarkeit sowie der Übergang der Verantwortung nach § 15 Absatz 4 auf Dritte, die vorgezogene Ausgleichs- und Ersatzmaßnahmen durchführen, richtet sich nach Landesrecht. Im Bereich der deutschen ausschließlichen Wirtschaftszone und des Festlandsockels richtet sich die Bevorratung nach § 56a.</w:t>
      </w:r>
    </w:p>
    <w:p>
      <w:r>
        <w:rPr>
          <w:color w:val="555555"/>
          <w:sz w:val="17"/>
        </w:rPr>
        <w:t xml:space="preserve">Zitiervorschlag: § 16 BNatSchG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https://recht.nulegal.eu/gesetze/BNatSchG%202009/16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