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BNatSchG 2009 — Allgemeiner Grundsatz</w:t>
      </w:r>
    </w:p>
    <w:p>
      <w:r>
        <w:rPr>
          <w:color w:val="555555"/>
          <w:sz w:val="18"/>
        </w:rPr>
        <w:t xml:space="preserve">Bundesnaturschutzgesetz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Erhebliche Beeinträchtigungen von Natur und Landschaft sind vom Verursacher vorrangig zu vermeiden. Nicht vermeidbare erhebliche Beeinträchtigungen sind durch Ausgleichs- oder Ersatzmaßnahmen oder, soweit dies nicht möglich ist, durch einen Ersatz in Geld zu kompensieren.</w:t>
      </w:r>
    </w:p>
    <w:p>
      <w:r>
        <w:rPr>
          <w:color w:val="555555"/>
          <w:sz w:val="17"/>
        </w:rPr>
        <w:t xml:space="preserve">Zitiervorschlag: § 13 BNatSchG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https://recht.nulegal.eu/gesetze/BNatSchG%202009/13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