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 BNDG — Bußgeldvorschriften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einer vollziehbaren Anordnung nach § 25 Absatz 1 Satz 1 oder Absatz 3 Satz 3 zuwiderhandelt oder</w:t>
      </w:r>
    </w:p>
    <w:p>
      <w:pPr>
        <w:ind w:left="420"/>
      </w:pPr>
      <w:r>
        <w:t xml:space="preserve">2. entgegen § 25 Absatz 3 Satz 2 eine Person betraut.</w:t>
      </w:r>
    </w:p>
    <w:p>
      <w:r>
        <w:t xml:space="preserve">(2) Die Ordnungswidrigkeit kann mit einer Geldbuße bis zu zwanzigtausend Euro geahndet werden.</w:t>
      </w:r>
    </w:p>
    <w:p>
      <w:r>
        <w:t xml:space="preserve">(3) Verwaltungsbehörde im Sinne des § 36 Absatz 1 Nummer 1 des Gesetzes über Ordnungswidrigkeiten ist das Bundesministerium für Wirtschaft und Energie.</w:t>
      </w:r>
    </w:p>
    <w:p>
      <w:r>
        <w:rPr>
          <w:color w:val="555555"/>
          <w:sz w:val="17"/>
        </w:rPr>
        <w:t xml:space="preserve">Zitiervorschlag: § 67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