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65i BNDG — Personenbezogene Daten aus Vertraulichkeitsbeziehungen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09.01.2024 (konsolidierte Textfassung, kein amtliches Inkrafttretensdatum)</w:t>
      </w:r>
    </w:p>
    <w:p>
      <w:r>
        <w:t xml:space="preserve">Sofern in den sichergestellten Unterlagen und Daten Kommunikation aus Vertraulichkeitsbeziehungen nach § 21 Absatz 1 Satz 2 enthalten ist, gilt § 21 für diese Kommunikation entsprechend.</w:t>
      </w:r>
    </w:p>
    <w:p>
      <w:r>
        <w:rPr>
          <w:color w:val="555555"/>
          <w:sz w:val="17"/>
        </w:rPr>
        <w:t xml:space="preserve">Zitiervorschlag: § 65i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https://recht.nulegal.eu/gesetze/BNDG/65i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