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65g BNDG — Kennzeichnung, Speicherung, Löschung und Zweckbindung</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darf die im Rahmen der Maßnahmen nach den §§ 65b bis 65d erforderlichen Informationen einschließlich personenbezogener Daten verarbeiten, soweit nicht die anzuwendenden Bestimmungen des Bundesdatenschutzgesetzes oder besondere Regelungen in diesem Abschnitt entgegenstehen. Personenbezogene Daten, die im Rahmen von Maßnahmen nach den §§ 65b bis 65d erhoben worden sind, sind entsprechend zu kennzeichnen.</w:t>
      </w:r>
    </w:p>
    <w:p>
      <w:r>
        <w:t xml:space="preserve">(2) Die Informationen nach Absatz 1 sind bis zum Ablauf des Kalenderjahres aufzubewahren, das auf das Kalenderjahr der Erhebung folgt. Nach Ablauf der Aufbewahrungsfrist sind die Daten unverzüglich und unwiederbringlich zu löschen, es sei denn, es liegen die Voraussetzungen des Absatzes 3 vor. Daten nach Absatz 1 dürfen nicht gelöscht werden, solange und soweit die Daten für eine gerichtliche Nachprüfung der Rechtmäßigkeit erforderlich sind. § 65d Absatz 7 Satz 2 bleibt unberührt.</w:t>
      </w:r>
    </w:p>
    <w:p>
      <w:r>
        <w:t xml:space="preserve">(3) Der Bundesnachrichtendienst darf personenbezogene Daten, die im Rahmen von Maßnahmen nach den §§ 65b bis 65d erhoben wurden, über die Absätze 1 und 2 hinaus nur weiterverarbeiten, wenn die weitere Verarbeitung nach § 2 Absatz 1 Satz 1 Nummer 1 oder Nummer 2 erforderlich ist. § 7 ist mit der Maßgabe anzuwenden, dass die Prüffrist sechs Monate beträgt. Die Kennzeichnung der personenbezogenen Daten nach Absatz 1 Satz 2 ist aufrechtzuerhalten.</w:t>
      </w:r>
    </w:p>
    <w:p>
      <w:r>
        <w:rPr>
          <w:color w:val="555555"/>
          <w:sz w:val="17"/>
        </w:rPr>
        <w:t xml:space="preserve">Zitiervorschlag: § 65g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