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65e BNDG — Anordnung von Maßnahmen zur Sicherung von Verschlusssachen</w:t>
      </w:r>
    </w:p>
    <w:p>
      <w:r>
        <w:rPr>
          <w:color w:val="555555"/>
          <w:sz w:val="18"/>
        </w:rPr>
        <w:t xml:space="preserve">BND-Gesetz</w:t>
      </w:r>
    </w:p>
    <w:p>
      <w:r>
        <w:rPr>
          <w:color w:val="555555"/>
          <w:sz w:val="18"/>
        </w:rPr>
        <w:t xml:space="preserve">Stand: 09.01.2024 (konsolidierte Textfassung, kein amtliches Inkrafttretensdatum)</w:t>
      </w:r>
    </w:p>
    <w:p>
      <w:r>
        <w:t xml:space="preserve">(1) Maßnahmen nach den §§ 65b bis 65d, mit Ausnahme von Kontrollen nach § 65b Nummer 1, bedürfen der Anordnung der oder des Geheimschutzbeauftragten des Bundesnachrichtendienstes oder einer von ihr oder ihm bestimmten Vertretung, in den Fällen des § 65c Absatz 2 und § 65d Absatz 3 der Anordnung durch die Behördenleitung des Bundesnachrichtendienstes oder ihre Vertretung. Die Anordnung sowie die im Rahmen der Maßnahmen nach Satz 1 erhobenen Informationen einschließlich personenbezogener Daten sind durch den Bundesnachrichtendienst zu dokumentieren. In der Anordnung sind anzugeben:</w:t>
      </w:r>
    </w:p>
    <w:p>
      <w:pPr>
        <w:ind w:left="420"/>
      </w:pPr>
      <w:r>
        <w:t xml:space="preserve">1. Art und Beschreibung der Maßnahme nach § 65b Nummer 2, den §§ 65c und 65d,</w:t>
      </w:r>
    </w:p>
    <w:p>
      <w:pPr>
        <w:ind w:left="420"/>
      </w:pPr>
      <w:r>
        <w:t xml:space="preserve">2. die betroffenen Personen,</w:t>
      </w:r>
    </w:p>
    <w:p>
      <w:pPr>
        <w:ind w:left="420"/>
      </w:pPr>
      <w:r>
        <w:t xml:space="preserve">3. Anlass der Maßnahme und</w:t>
      </w:r>
    </w:p>
    <w:p>
      <w:pPr>
        <w:ind w:left="420"/>
      </w:pPr>
      <w:r>
        <w:t xml:space="preserve">4. Begründung der Maßnahme.</w:t>
      </w:r>
    </w:p>
    <w:p>
      <w:r>
        <w:t xml:space="preserve">In den Fällen des § 65c Absatz 1 Nummer 1 kann die Anordnung auch mehrere gleichgelagerte Maßnahmen innerhalb eines in der Anordnung definierten Zeitraums, der nicht länger als sechs Monate sein darf, umfassen.</w:t>
      </w:r>
    </w:p>
    <w:p>
      <w:r>
        <w:t xml:space="preserve">(2) Ist eine Anordnung nach Absatz 1 Satz 1 auf Grund besonderer Eilbedürftigkeit nicht rechtzeitig zu erlangen, kann die Maßnahme auch ohne vorherige Anordnung durchgeführt werden, wenn ansonsten der Zweck der Maßnahme vereitelt oder wesentlich erschwert würde. In den Fällen des § 65d Absatz 2 bis 3 und 5 darf jedoch lediglich das Herausgabeverlangen sowie die Sicherstellung des Gerätes der Informations- und Kommunikationstechnik ohne vorherige Anordnung erfolgen. Die Anordnung ist unverzüglich nachzuholen. Wird die Anordnung nach Absatz 1 nicht nachgeholt, so hat der Bundesnachrichtendienst die bereits erhobenen Daten unverzüglich zu löschen und sichergestellte Gegenstände an die betroffene Person herauszugeben.</w:t>
      </w:r>
    </w:p>
    <w:p>
      <w:r>
        <w:t xml:space="preserve">(3) Widerspruch und Anfechtungsklage gegen die in Absatz 1 genannten Maßnahmen haben keine aufschiebende Wirkung.</w:t>
      </w:r>
    </w:p>
    <w:p>
      <w:r>
        <w:rPr>
          <w:color w:val="555555"/>
          <w:sz w:val="17"/>
        </w:rPr>
        <w:t xml:space="preserve">Zitiervorschlag: § 65e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