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65b BNDG — Kontrolle und Durchsuchung von Personen, Taschen und Fahrzeugen zur Sicherung von Verschlusssachen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Zur Sicherung von Verschlusssachen darf der Bundesnachrichtendienst innerhalb seiner Dienststellen</w:t>
      </w:r>
    </w:p>
    <w:p>
      <w:pPr>
        <w:ind w:left="420"/>
      </w:pPr>
      <w:r>
        <w:t xml:space="preserve">1. verdachtsunabhängige Kontrollen im Sinne des § 65f Absatz 2 von Personen, Taschen und Fahrzeugen sowie von mitgeführten Gegenständen, insbesondere an Ein- und Ausgängen, durchführen und</w:t>
      </w:r>
    </w:p>
    <w:p>
      <w:pPr>
        <w:ind w:left="420"/>
      </w:pPr>
      <w:r>
        <w:t xml:space="preserve">2. Durchsuchungen im Sinne des § 65f Absatz 3 von Personen, Taschen und Fahrzeugen sowie mitgeführten Gegenständen vornehmen, wenn tatsächliche Anhaltpunkte dafür vorliegen, dass die Durchsuchung zur Sicherung von Verschlusssachen erforderlich ist.</w:t>
      </w:r>
    </w:p>
    <w:p>
      <w:r>
        <w:rPr>
          <w:color w:val="555555"/>
          <w:sz w:val="17"/>
        </w:rPr>
        <w:t xml:space="preserve">Zitiervorschlag: § 65b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