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BNDG — Personal- und Sachausstattung; Personalverwaltung</w:t>
      </w:r>
    </w:p>
    <w:p>
      <w:r>
        <w:rPr>
          <w:color w:val="555555"/>
          <w:sz w:val="18"/>
        </w:rPr>
        <w:t xml:space="preserve">BND-Gesetz</w:t>
      </w:r>
    </w:p>
    <w:p>
      <w:r>
        <w:rPr>
          <w:color w:val="555555"/>
          <w:sz w:val="18"/>
        </w:rPr>
        <w:t xml:space="preserve">Stand: 01.01.2022 (konsolidierte Textfassung, kein amtliches Inkrafttretensdatum)</w:t>
      </w:r>
    </w:p>
    <w:p>
      <w:r>
        <w:t xml:space="preserve">(1) Dem Unabhängigen Kontrollrat ist die für die Erfüllung seiner Aufgaben angemessene Personal- und Sachausstattung zur Verfügung zu stellen.</w:t>
      </w:r>
    </w:p>
    <w:p>
      <w:r>
        <w:t xml:space="preserve">(2) Der Unabhängige Kontrollrat kann Aufgaben der Personalverwaltung und Personalwirtschaft auf das Bundeskanzleramt oder ein Bundesministerium übertragen, soweit hierdurch die Unabhängigkeit des Unabhängigen Kontrollrates nicht beeinträchtigt wird. Diesen Stellen dürfen personenbezogene Daten der Beschäftigten übermittelt werden, soweit deren Kenntnis zur Erfüllung der übertragenen Aufgaben erforderlich ist.</w:t>
      </w:r>
    </w:p>
    <w:p>
      <w:r>
        <w:rPr>
          <w:color w:val="555555"/>
          <w:sz w:val="17"/>
        </w:rPr>
        <w:t xml:space="preserve">Zitiervorschlag: § 57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