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BNDG — Weitere Rechte und Pflichten der Mitglieder des gerichtsähnlichen Kontrollorgans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24.04.2021 (konsolidierte Textfassung, kein amtliches Inkrafttretensdatum)</w:t>
      </w:r>
    </w:p>
    <w:p>
      <w:r>
        <w:t xml:space="preserve">(1) Die für die Richterinnen und Richter an den obersten Gerichtshöfen des Bundes geltenden Vorschriften über Unabhängigkeit und Disziplinarmaßnahmen sind entsprechend anzuwenden.</w:t>
      </w:r>
    </w:p>
    <w:p>
      <w:r>
        <w:t xml:space="preserve">(2) Die Mitglieder des gerichtsähnlichen Kontrollorgans sehen von allen mit den Aufgaben ihres Amtes nicht zu vereinbarenden Handlungen ab. § 4 des Deutschen Richtergesetzes gilt entsprechend.</w:t>
      </w:r>
    </w:p>
    <w:p>
      <w:r>
        <w:rPr>
          <w:color w:val="555555"/>
          <w:sz w:val="17"/>
        </w:rPr>
        <w:t xml:space="preserve">Zitiervorschlag: § 47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