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BNDG — Besoldung der Mitglieder des gerichtsähnlichen Kontrollorgans</w:t>
      </w:r>
    </w:p>
    <w:p>
      <w:r>
        <w:rPr>
          <w:color w:val="555555"/>
          <w:sz w:val="18"/>
        </w:rPr>
        <w:t xml:space="preserve">BND-Gesetz</w:t>
      </w:r>
    </w:p>
    <w:p>
      <w:r>
        <w:rPr>
          <w:color w:val="555555"/>
          <w:sz w:val="18"/>
        </w:rPr>
        <w:t xml:space="preserve">Stand: 24.04.2021 (konsolidierte Textfassung, kein amtliches Inkrafttretensdatum)</w:t>
      </w:r>
    </w:p>
    <w:p>
      <w:r>
        <w:t xml:space="preserve">(1) Den Mitgliedern des gerichtsähnlichen Kontrollorgans wird vom Beginn des Kalendermonats an, in dem das Beamtenverhältnis auf Zeit beginnt, bis zum Ende des Kalendermonats, in dem dieses endet, im Falle des § 45 Absatz 5 bis zum Ende des Kalendermonats, in dem die Geschäftsführung endet, ein Amt der Besoldungsgruppe B 7 übertragen.</w:t>
      </w:r>
    </w:p>
    <w:p>
      <w:r>
        <w:t xml:space="preserve">(2) Abweichend von Absatz 1 wird der Präsidentin oder dem Präsidenten des Unabhängigen Kontrollrates ein Amt der Besoldungsgruppe B 9 übertragen.</w:t>
      </w:r>
    </w:p>
    <w:p>
      <w:r>
        <w:rPr>
          <w:color w:val="555555"/>
          <w:sz w:val="17"/>
        </w:rPr>
        <w:t xml:space="preserve">Zitiervorschlag: § 46 BNDG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https://recht.nulegal.eu/gesetze/BNDG/46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