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BNDG — Zuständigkeit des gerichtsähnlichen Kontrollorgans; Vorlagepflicht des Bundesnachrichtendienstes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Das gerichtsähnliche Kontrollorgan ist im Rahmen der strategischen Ausland-Fernmeldeaufklärung zuständig für die Vorabkontrolle der Rechtmäßigkeit</w:t>
      </w:r>
    </w:p>
    <w:p>
      <w:pPr>
        <w:ind w:left="420"/>
      </w:pPr>
      <w:r>
        <w:t xml:space="preserve">1. der Anordnung von strategischen Aufklärungsmaßnahmen nach § 23 Absatz 1 (§ 23 Absatz 4),</w:t>
      </w:r>
    </w:p>
    <w:p>
      <w:pPr>
        <w:ind w:left="420"/>
      </w:pPr>
      <w:r>
        <w:t xml:space="preserve">2. der Anordnung von Zielen nach § 23 Absatz 5 (§ 23 Absatz 7),</w:t>
      </w:r>
    </w:p>
    <w:p>
      <w:pPr>
        <w:ind w:left="420"/>
      </w:pPr>
      <w:r>
        <w:t xml:space="preserve">3. der Feststellung eines qualifizierten Aufklärungsbedarfs bei der Verarbeitung von unselektierten Verkehrsdaten im Rahmen von Kooperationen des Bundesnachrichtendienstes mit ausländischen Nachrichtendiensten nach § 33 Absatz 2,</w:t>
      </w:r>
    </w:p>
    <w:p>
      <w:pPr>
        <w:ind w:left="420"/>
      </w:pPr>
      <w:r>
        <w:t xml:space="preserve">4. der Verwertbarkeit von Daten nach § 22 Absatz 3 im Falle von Zweifeln und</w:t>
      </w:r>
    </w:p>
    <w:p>
      <w:pPr>
        <w:ind w:left="420"/>
      </w:pPr>
      <w:r>
        <w:t xml:space="preserve">5. der Übermittlung von Daten nach den §§ 11d und 11g in Verbindung mit § 11d.</w:t>
      </w:r>
    </w:p>
    <w:p>
      <w:r>
        <w:t xml:space="preserve">(2) Das gerichtsähnliche Kontrollorgan ist im Rahmen der strategischen Ausland-Fernmeldeaufklärung ferner zuständig für die Kontrolle der Rechtmäßigkeit</w:t>
      </w:r>
    </w:p>
    <w:p>
      <w:pPr>
        <w:ind w:left="420"/>
      </w:pPr>
      <w:r>
        <w:t xml:space="preserve">1. der Verwendung der Daten nach § 21 Absatz 3,</w:t>
      </w:r>
    </w:p>
    <w:p>
      <w:pPr>
        <w:ind w:left="420"/>
      </w:pPr>
      <w:r>
        <w:t xml:space="preserve">2. einer Zweckänderung nach § 11b Absatz 5, § 11c Absatz 3, § 11e Absatz 4 und § 11f Absatz 3,</w:t>
      </w:r>
    </w:p>
    <w:p>
      <w:pPr>
        <w:ind w:left="420"/>
      </w:pPr>
      <w:r>
        <w:t xml:space="preserve">3. der Dienstvorschriften des Bundesnachrichtendienstes nach § 62, soweit sie Regelungen zur Auswertung von Daten beinhalten, und</w:t>
      </w:r>
    </w:p>
    <w:p>
      <w:pPr>
        <w:ind w:left="420"/>
      </w:pPr>
      <w:r>
        <w:t xml:space="preserve">4. der sonstigen im Wege der Beanstandungen nach § 52 Absatz 3 vorgelegten Sachverhalte.</w:t>
      </w:r>
    </w:p>
    <w:p>
      <w:r>
        <w:t xml:space="preserve">(3) Das gerichtsähnliche Kontrollorgan ist im Rahmen von Eingriffen in informationstechnische Systeme von Ausländern im Ausland nach § 34 zuständig für die Vorabkontrolle der Rechtmäßigkeit</w:t>
      </w:r>
    </w:p>
    <w:p>
      <w:pPr>
        <w:ind w:left="420"/>
      </w:pPr>
      <w:r>
        <w:t xml:space="preserve">1. der Anordnung von individuellen Aufklärungsmaßnahmen nach § 37 Absatz 1 und deren Verlängerung und</w:t>
      </w:r>
    </w:p>
    <w:p>
      <w:pPr>
        <w:ind w:left="420"/>
      </w:pPr>
      <w:r>
        <w:t xml:space="preserve">2. der Übermittlung von Daten nach § 38 Absatz 8 in Verbindung mit § 29 Absatz 8 sowie nach § 39 Absatz 6 in Verbindung mit § 30 Absatz 9.</w:t>
      </w:r>
    </w:p>
    <w:p>
      <w:r>
        <w:t xml:space="preserve">(4) Das gerichtsähnliche Kontrollorgan ist im Rahmen von Eingriffen in informationstechnische Systeme von Ausländern im Ausland nach § 34 ferner zuständig für die Kontrolle der Rechtmäßigkeit</w:t>
      </w:r>
    </w:p>
    <w:p>
      <w:pPr>
        <w:ind w:left="420"/>
      </w:pPr>
      <w:r>
        <w:t xml:space="preserve">1. der Verwendung der Daten nach § 35 Absatz 3,</w:t>
      </w:r>
    </w:p>
    <w:p>
      <w:pPr>
        <w:ind w:left="420"/>
      </w:pPr>
      <w:r>
        <w:t xml:space="preserve">2. einer Zweckänderung nach § 38 Absatz 7 und § 39 Absatz 4 und</w:t>
      </w:r>
    </w:p>
    <w:p>
      <w:pPr>
        <w:ind w:left="420"/>
      </w:pPr>
      <w:r>
        <w:t xml:space="preserve">3. der sonstigen im Wege der Beanstandungen nach § 52 Absatz 3 vorgelegten Sachverhalte.</w:t>
      </w:r>
    </w:p>
    <w:p>
      <w:r>
        <w:t xml:space="preserve">(5) In den Fällen der Absätze 2 und 4 Nummer 1 und 2 hat der Bundesnachrichtendienst dem gerichtsähnlichen Kontrollorgan den Kontrollgegenstand unverzüglich vorzulegen.</w:t>
      </w:r>
    </w:p>
    <w:p>
      <w:r>
        <w:rPr>
          <w:color w:val="555555"/>
          <w:sz w:val="17"/>
        </w:rPr>
        <w:t xml:space="preserve">Zitiervorschlag: § 42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