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BNDG — Ausübung der unabhängigen Rechtskontrolle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Rechtmäßigkeit der technischen Aufklärung und damit einhergehender Übermittlungen und Kooperationen des Bundesnachrichtendienstes auf der Grundlage der durch dieses Gesetz eingeräumten Befugnisse unterliegt der Rechtskontrolle durch den Unabhängigen Kontrollrat.</w:t>
      </w:r>
    </w:p>
    <w:p>
      <w:r>
        <w:t xml:space="preserve">(2) Die Rechtskontrolle wird ausgeübt als</w:t>
      </w:r>
    </w:p>
    <w:p>
      <w:pPr>
        <w:ind w:left="420"/>
      </w:pPr>
      <w:r>
        <w:t xml:space="preserve">1. gerichtsähnliche Rechtskontrolle durch das gerichtsähnliche Kontrollorgan und</w:t>
      </w:r>
    </w:p>
    <w:p>
      <w:pPr>
        <w:ind w:left="420"/>
      </w:pPr>
      <w:r>
        <w:t xml:space="preserve">2. administrative Rechtskontrolle durch das administrative Kontrollorgan.</w:t>
      </w:r>
    </w:p>
    <w:p>
      <w:r>
        <w:rPr>
          <w:color w:val="555555"/>
          <w:sz w:val="17"/>
        </w:rPr>
        <w:t xml:space="preserve">Zitiervorschlag: § 40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