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BNDG — Anordnung</w:t>
      </w:r>
    </w:p>
    <w:p>
      <w:r>
        <w:rPr>
          <w:color w:val="555555"/>
          <w:sz w:val="18"/>
        </w:rPr>
        <w:t xml:space="preserve">BND-Gesetz</w:t>
      </w:r>
    </w:p>
    <w:p>
      <w:r>
        <w:rPr>
          <w:color w:val="555555"/>
          <w:sz w:val="18"/>
        </w:rPr>
        <w:t xml:space="preserve">Stand: 01.01.2022 (konsolidierte Textfassung, kein amtliches Inkrafttretensdatum)</w:t>
      </w:r>
    </w:p>
    <w:p>
      <w:r>
        <w:t xml:space="preserve">(1) Individuelle Aufklärungsmaßnahmen nach § 34 Absatz 1 Satz 1 bedürfen der Anordnung durch die Präsidentin oder den Präsidenten des Bundesnachrichtendienstes oder durch eine Vertretung, die die Präsidentin oder der Präsident des Bundesnachrichtendienstes bestimmt hat.</w:t>
      </w:r>
    </w:p>
    <w:p>
      <w:r>
        <w:t xml:space="preserve">(2) Die Anordnung nach Absatz 1 ergeht schriftlich. In ihr sind anzugeben:</w:t>
      </w:r>
    </w:p>
    <w:p>
      <w:pPr>
        <w:ind w:left="420"/>
      </w:pPr>
      <w:r>
        <w:t xml:space="preserve">1. der Aufklärungszweck,</w:t>
      </w:r>
    </w:p>
    <w:p>
      <w:pPr>
        <w:ind w:left="420"/>
      </w:pPr>
      <w:r>
        <w:t xml:space="preserve">2. das verfolgte Aufklärungsthema,</w:t>
      </w:r>
    </w:p>
    <w:p>
      <w:pPr>
        <w:ind w:left="420"/>
      </w:pPr>
      <w:r>
        <w:t xml:space="preserve">3. das Ziel der individuellen Aufklärungsmaßnahmen,</w:t>
      </w:r>
    </w:p>
    <w:p>
      <w:pPr>
        <w:ind w:left="420"/>
      </w:pPr>
      <w:r>
        <w:t xml:space="preserve">4. Art, Umfang und Dauer der individuellen Aufklärungsmaßnahme,</w:t>
      </w:r>
    </w:p>
    <w:p>
      <w:pPr>
        <w:ind w:left="420"/>
      </w:pPr>
      <w:r>
        <w:t xml:space="preserve">5. eine Begründung sowie</w:t>
      </w:r>
    </w:p>
    <w:p>
      <w:pPr>
        <w:ind w:left="420"/>
      </w:pPr>
      <w:r>
        <w:t xml:space="preserve">6. erforderlichenfalls die Festlegung eines längeren Prüfzeitraumes nach § 34 Absatz 7 Satz 2 oder Absatz 9.</w:t>
      </w:r>
    </w:p>
    <w:p>
      <w:r>
        <w:t xml:space="preserve">(3) Die Anordnung ist auf höchstens zwölf Monate zu befristen. Verlängerungen um jeweils bis zu zwölf Monate sind zulässig, soweit die Anordnungsvoraussetzungen unter Berücksichtigung der gewonnenen Erkenntnisse fortbestehen. Liegen die Voraussetzungen der Anordnung nicht mehr vor, ist die individuelle Aufklärungsmaßnahme unverzüglich zu beenden.</w:t>
      </w:r>
    </w:p>
    <w:p>
      <w:r>
        <w:t xml:space="preserve">(4) Der Unabhängige Kontrollrat prüft vor ihrem Vollzug</w:t>
      </w:r>
    </w:p>
    <w:p>
      <w:pPr>
        <w:ind w:left="420"/>
      </w:pPr>
      <w:r>
        <w:t xml:space="preserve">1. die Rechtmäßigkeit der Anordnung sowie</w:t>
      </w:r>
    </w:p>
    <w:p>
      <w:pPr>
        <w:ind w:left="420"/>
      </w:pPr>
      <w:r>
        <w:t xml:space="preserve">2. die Rechtmäßigkeit der Verlängerung der Anordnung.</w:t>
      </w:r>
    </w:p>
    <w:p>
      <w:r>
        <w:t xml:space="preserve">Bestätigt der Unabhängige Kontrollrat die Rechtmäßigkeit der Anordnung nicht, tritt die Anordnung außer Kraft. Satz 2 gilt entsprechend für den Fall, dass der Unabhängige Kontrollrat die Rechtmäßigkeit der Verlängerung der Anordnung nicht bestätigt mit der Maßgabe, dass die Anordnung zum ursprünglich festgelegten Zeitpunkt außer Kraft tritt. Bei Gefahr im Verzug erfolgt eine vorläufige Prüfung der Rechtmäßigkeit durch ein Mitglied des gerichtsähnlichen Kontrollorgans des Unabhängigen Kontrollrates, wenn andernfalls der Aufklärungszweck der individuellen Aufklärungsmaßnahme vereitelt oder wesentlich erschwert würde. Wird im Rahmen der vorläufigen Prüfung festgestellt, dass die Anordnung oder die Verlängerung der Anordnung rechtmäßig ist, darf diese vollzogen werden. In diesem Fall ist die Prüfung durch den Unabhängigen Kontrollrat unverzüglich nachzuholen. Hebt der Unabhängige Kontrollrat die Entscheidung nach Satz 4 auf, tritt</w:t>
      </w:r>
    </w:p>
    <w:p>
      <w:pPr>
        <w:ind w:left="420"/>
      </w:pPr>
      <w:r>
        <w:t xml:space="preserve">1. im Falle des Satzes 1 Nummer 1 die Anordnung außer Kraft,</w:t>
      </w:r>
    </w:p>
    <w:p>
      <w:pPr>
        <w:ind w:left="420"/>
      </w:pPr>
      <w:r>
        <w:t xml:space="preserve">2. im Falle des Satzes 1 Nummer 2 die Anordnung zum ursprünglich festgelegten Zeitpunkt außer Kraft</w:t>
      </w:r>
    </w:p>
    <w:p>
      <w:r>
        <w:t xml:space="preserve">und die bereits erhobenen Daten sind unverzüglich zu löschen.</w:t>
      </w:r>
    </w:p>
    <w:p>
      <w:r>
        <w:t xml:space="preserve">(5) Der Bundesnachrichtendienst unterrichtet das Bundeskanzleramt in regelmäßigen Abständen über Anordnungen nach Absatz 1. Das Bundeskanzleramt unterrichtet darüber hinaus das Parlamentarische Kontrollgremium jährlich über die Anzahl der angeordneten individuellen Aufklärungsmaßnahmen.</w:t>
      </w:r>
    </w:p>
    <w:p>
      <w:r>
        <w:rPr>
          <w:color w:val="555555"/>
          <w:sz w:val="17"/>
        </w:rPr>
        <w:t xml:space="preserve">Zitiervorschlag: § 37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