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BNDG — Kernbereichsschutz</w:t>
      </w:r>
    </w:p>
    <w:p>
      <w:r>
        <w:rPr>
          <w:color w:val="555555"/>
          <w:sz w:val="18"/>
        </w:rPr>
        <w:t xml:space="preserve">BND-Gesetz</w:t>
      </w:r>
    </w:p>
    <w:p>
      <w:r>
        <w:rPr>
          <w:color w:val="555555"/>
          <w:sz w:val="18"/>
        </w:rPr>
        <w:t xml:space="preserve">Stand: 01.01.2022 (konsolidierte Textfassung, kein amtliches Inkrafttretensdatum)</w:t>
      </w:r>
    </w:p>
    <w:p>
      <w:r>
        <w:t xml:space="preserve">(1) Die Datenerhebung zum Zweck der Erlangung von Erkenntnissen zum Kernbereich privater Lebensgestaltung ist unzulässig.</w:t>
      </w:r>
    </w:p>
    <w:p>
      <w:r>
        <w:t xml:space="preserve">(2) Sofern erst die Weiterverarbeitung der erhobenen personenbezogenen Daten ergibt, dass Daten erhoben wurden, die dem Kernbereich privater Lebensgestaltung unterfallen, sind diese unverzüglich zu löschen. Die Löschung ist zu protokollieren. Die Protokolldaten dürfen ausschließlich zur Durchführung der Datenschutzkontrolle verwendet werden. Die Protokolldaten sind bis zum Ablauf des zweiten auf die Protokollierung folgenden Kalenderjahres aufzubewahren und danach unverzüglich zu löschen.</w:t>
      </w:r>
    </w:p>
    <w:p>
      <w:r>
        <w:t xml:space="preserve">(3) Bestehen im Rahmen der Weiterverarbeitung nach Absatz 2 Zweifel und sollen die Daten nicht unverzüglich gelöscht werden, dürfen die Daten nicht ohne vorherige Prüfung durch den Unabhängigen Kontrollrat weiterverarbeitet werden. Stellt der Unabhängige Kontrollrat fest, dass die Daten nicht weiterverarbeitet werden dürfen, sind die Daten unverzüglich zu löschen. Die Löschung ist zu protokollieren. Die Protokolldaten dürfen ausschließlich zur Durchführung der Datenschutzkontrolle verwendet werden. Die Protokolldaten sind bis zum Ablauf des zweiten auf die Protokollierung folgenden Kalenderjahres aufzubewahren und danach unverzüglich zu löschen.</w:t>
      </w:r>
    </w:p>
    <w:p>
      <w:r>
        <w:rPr>
          <w:color w:val="555555"/>
          <w:sz w:val="17"/>
        </w:rPr>
        <w:t xml:space="preserve">Zitiervorschlag: § 36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