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BNDG — Übermittlung von personenbezogenen Daten aus der strategischen Ausland-Fernmeldeaufklärung an inländische öffentliche Stellen und andere inländische Stellen</w:t>
      </w:r>
    </w:p>
    <w:p>
      <w:r>
        <w:rPr>
          <w:color w:val="555555"/>
          <w:sz w:val="18"/>
        </w:rPr>
        <w:t xml:space="preserve">BND-Gesetz</w:t>
      </w:r>
    </w:p>
    <w:p>
      <w:r>
        <w:rPr>
          <w:color w:val="555555"/>
          <w:sz w:val="18"/>
        </w:rPr>
        <w:t xml:space="preserve">Außer Kraft: § 29 ist seit 09.01.2024 nicht mehr im BNDG enthalten. Angezeigt wird die letzte bekannte Fassung, Stand 01.01.2022.</w:t>
      </w:r>
    </w:p>
    <w:p>
      <w:r>
        <w:t xml:space="preserve">(1) Der Bundesnachrichtendienst darf an das Bundesamt für Verfassungsschutz, die Verfassungsschutzbehörden der Länder und an den Militärischen Abschirmdienst übermitteln:</w:t>
      </w:r>
    </w:p>
    <w:p>
      <w:pPr>
        <w:ind w:left="420"/>
      </w:pPr>
      <w:r>
        <w:t xml:space="preserve">1. die mit dem Zweck der Gefahrenfrüherkennung gekennzeichneten personenbezogenen Daten, wenn tatsächliche Anhaltspunkte dafür bestehen, dass dies erforderlich ist zum Schutz besonders gewichtiger Rechtsgüter, und</w:t>
      </w:r>
    </w:p>
    <w:p>
      <w:pPr>
        <w:ind w:left="420"/>
      </w:pPr>
      <w:r>
        <w:t xml:space="preserve">2. die mit dem Zweck der politischen Unterrichtung oder mit dem Zweck der Gefahrenfrüherkennung gekennzeichneten personenbezogenen Daten zum Zweck der Unterrichtung der Bundesregierung oder einer Landesregierung, wenn tatsächliche Anhaltspunkte dafür bestehen, dass die Übermittlung zur Erfüllung seiner Aufgaben oder der Aufgaben der Empfänger erforderlich ist.</w:t>
      </w:r>
    </w:p>
    <w:p>
      <w:r>
        <w:t xml:space="preserve">(2) Der Bundesnachrichtendienst darf die mit dem Zweck der politischen Unterrichtung oder mit dem Zweck der Gefahrenfrüherkennung gekennzeichneten personenbezogenen Daten an andere inländische öffentliche Stellen zum Zweck der Unterrichtung der Bundesregierung oder einer Landesregierung übermitteln, wenn tatsächliche Anhaltspunkte dafür bestehen, dass die Übermittlung zur Erfüllung seiner Aufgaben oder der Aufgaben der Empfänger erforderlich ist.</w:t>
      </w:r>
    </w:p>
    <w:p>
      <w:r>
        <w:t xml:space="preserve">(3) Der Bundesnachrichtendienst darf die mit dem Zweck der Gefahrenfrüherkennung gekennzeichneten personenbezogenen Daten an Strafverfolgungsbehörden übermitteln, wenn tatsächliche Anhaltspunkte dafür bestehen, dass dies erforderlich ist zur Verfolgung von</w:t>
      </w:r>
    </w:p>
    <w:p>
      <w:pPr>
        <w:ind w:left="420"/>
      </w:pPr>
      <w:r>
        <w:t xml:space="preserve">1. Straftaten nach § 100b Absatz 2 der Strafprozessordnung oder</w:t>
      </w:r>
    </w:p>
    <w:p>
      <w:pPr>
        <w:ind w:left="420"/>
      </w:pPr>
      <w:r>
        <w:t xml:space="preserve">2. vorsätzlichen Straftaten nach den §§ 17 und 18 des Außenwirtschaftsgesetzes.</w:t>
      </w:r>
    </w:p>
    <w:p>
      <w:r>
        <w:t xml:space="preserve">(4) Der Bundesnachrichtendienst darf die mit dem Zweck der Gefahrenfrüherkennung gekennzeichneten personenbezogenen Daten an die in Absatz 2 genannten Stellen auch zum Zweck der Weiterverarbeitung für Folgemaßnahmen mit unmittelbarer Außenwirkung für den Betroffenen, insbesondere zur Gefahrenabwehr, übermitteln,</w:t>
      </w:r>
    </w:p>
    <w:p>
      <w:pPr>
        <w:ind w:left="420"/>
      </w:pPr>
      <w:r>
        <w:t xml:space="preserve">1. soweit dies in anderen Rechtsvorschriften vorgesehen ist oder</w:t>
      </w:r>
    </w:p>
    <w:p>
      <w:pPr>
        <w:ind w:left="420"/>
      </w:pPr>
      <w:r>
        <w:t xml:space="preserve">2. wenn tatsächliche Anhaltspunkte dafür bestehen, dass dies erforderlich ist zur Abwehr einer Gefahr für besonders gewichtige Rechtsgüter oder zur Abwehr einer besonders schwerwiegenden Beeinträchtigung der Rechte Einzelner.</w:t>
      </w:r>
    </w:p>
    <w:p>
      <w:r>
        <w:t xml:space="preserve">(5) Der Bundesnachrichtendienst darf die mit dem Zweck der Gefahrenfrüherkennung gekennzeichneten personenbezogenen Daten an die Bundeswehr übermitteln, wenn tatsächliche Anhaltspunkte dafür vorliegen, dass dies erforderlich ist</w:t>
      </w:r>
    </w:p>
    <w:p>
      <w:pPr>
        <w:ind w:left="420"/>
      </w:pPr>
      <w:r>
        <w:t xml:space="preserve">1. zum Schutz der Funktionsfähigkeit der Bundeswehr für die Landes- oder Bündnisverteidigung und bei Auslandseinsätzen,</w:t>
      </w:r>
    </w:p>
    <w:p>
      <w:pPr>
        <w:ind w:left="420"/>
      </w:pPr>
      <w:r>
        <w:t xml:space="preserve">2. zum Schutz der Funktionsfähigkeit der Streitkräfte von Mitgliedstaaten der Europäischen Union, des Nordatlantikvertrages oder der Europäischen Freihandelsassoziation,</w:t>
      </w:r>
    </w:p>
    <w:p>
      <w:pPr>
        <w:ind w:left="420"/>
      </w:pPr>
      <w:r>
        <w:t xml:space="preserve">3. zum Schutz von Leib, Leben oder Freiheit einer Person oder</w:t>
      </w:r>
    </w:p>
    <w:p>
      <w:pPr>
        <w:ind w:left="420"/>
      </w:pPr>
      <w:r>
        <w:t xml:space="preserve">4. zum Schutz von anderen besonders gewichtigen Rechtsgütern.</w:t>
      </w:r>
    </w:p>
    <w:p>
      <w:r>
        <w:t xml:space="preserve">Die in Satz 1 genannten personenbezogenen Daten darf der Bundesnachrichtendienst auch automatisiert an die Bundeswehr übermitteln, sofern diese auf Grundlage von Suchbegriffen erhoben wurden, die strategischen Aufklärungsmaßnahmen nach § 19 Absatz 4 Nummer 1 Buchstabe a oder Nummer 2 Buchstabe a zugeordnet sind.</w:t>
      </w:r>
    </w:p>
    <w:p>
      <w:r>
        <w:t xml:space="preserve">(6) Der Bundesnachrichtendienst darf die mit dem Zweck der Gefahrenfrüherkennung gekennzeichneten personenbezogenen Daten an andere inländische Stellen übermitteln, wenn tatsächliche Anhaltspunkte dafür bestehen, dass die Übermittlung erforderlich ist</w:t>
      </w:r>
    </w:p>
    <w:p>
      <w:pPr>
        <w:ind w:left="420"/>
      </w:pPr>
      <w:r>
        <w:t xml:space="preserve">1. zum Schutz der freiheitlichen demokratischen Grundordnung,</w:t>
      </w:r>
    </w:p>
    <w:p>
      <w:pPr>
        <w:ind w:left="420"/>
      </w:pPr>
      <w:r>
        <w:t xml:space="preserve">2. zum Schutz des Bestandes oder der Sicherheit des Bundes oder eines Landes oder</w:t>
      </w:r>
    </w:p>
    <w:p>
      <w:pPr>
        <w:ind w:left="420"/>
      </w:pPr>
      <w:r>
        <w:t xml:space="preserve">3. zur Gewährleistung der Sicherheit von lebenswichtigen Gütern der Allgemeinheit, insbesondere zum Schutz von Einrichtungen Kritischer Infrastruktur.</w:t>
      </w:r>
    </w:p>
    <w:p>
      <w:r>
        <w:t xml:space="preserve">Übermittlungen nach Satz 1 bedürfen der vorherigen Zustimmung durch das Bundeskanzleramt. Der Bundesnachrichtendienst darf personenbezogene Daten an andere inländische Stellen auch ohne Vorliegen der Voraussetzungen der Sätze 1 und 2 übermitteln, wenn sie lediglich zur Konkretisierung einer Anfrage an eine andere Stelle übermittelt werden und dieser die Daten bereits bekannt sind.</w:t>
      </w:r>
    </w:p>
    <w:p>
      <w:r>
        <w:t xml:space="preserve">(7) Der Bundesnachrichtendienst darf die mit dem Zweck der politischen Unterrichtung gekennzeichneten personenbezogenen Daten an inländische öffentliche Stellen über die Absätze 1 und 2 hinaus auch übermitteln, wenn tatsächliche Anhaltspunkte dafür bestehen, dass eine Übermittlung erforderlich ist zur Verhinderung einer unmittelbar bevorstehenden Gefahr für</w:t>
      </w:r>
    </w:p>
    <w:p>
      <w:pPr>
        <w:ind w:left="420"/>
      </w:pPr>
      <w:r>
        <w:t xml:space="preserve">1. Leib, Leben oder Freiheit einer Person,</w:t>
      </w:r>
    </w:p>
    <w:p>
      <w:pPr>
        <w:ind w:left="420"/>
      </w:pPr>
      <w:r>
        <w:t xml:space="preserve">2. lebenswichtige Güter der Allgemeinheit oder</w:t>
      </w:r>
    </w:p>
    <w:p>
      <w:pPr>
        <w:ind w:left="420"/>
      </w:pPr>
      <w:r>
        <w:t xml:space="preserve">3. den Bestand oder die Sicherheit des Bundes oder eines Landes oder für die Sicherheit eines Mitgliedstaates der Europäischen Union, der Europäischen Freihandelsassoziation oder des Nordatlantikvertrages.</w:t>
      </w:r>
    </w:p>
    <w:p>
      <w:r>
        <w:t xml:space="preserve">In Fällen von Satz 1 Nummer 1 ist über Absatz 6 Satz 1 hinaus auch eine Übermittlung an andere inländische Stellen zulässig.</w:t>
      </w:r>
    </w:p>
    <w:p>
      <w:r>
        <w:t xml:space="preserve">(8) Eine Übermittlung von personenbezogenen Daten aus einer Vertraulichkeitsbeziehung (§ 21 Absatz 1 Satz 2) ist unzulässig. Abweichend von Satz 1 ist eine Übermittlung nach vorheriger Prüfung der Rechtmäßigkeit durch den Unabhängigen Kontrollrat zulässig, wenn tatsächliche Anhaltspunkte den Verdacht begründen, dass</w:t>
      </w:r>
    </w:p>
    <w:p>
      <w:pPr>
        <w:ind w:left="420"/>
      </w:pPr>
      <w:r>
        <w:t xml:space="preserve">1. die in § 21 Absatz 1 Satz 2 aufgeführte Person Täter oder Teilnehmer einer der in Absatz 3 genannten Straftaten ist oder</w:t>
      </w:r>
    </w:p>
    <w:p>
      <w:pPr>
        <w:ind w:left="420"/>
      </w:pPr>
      <w:r>
        <w:t xml:space="preserve">2. dies erforderlich ist zur Verhinderung einer Gefahr für</w:t>
      </w:r>
    </w:p>
    <w:p>
      <w:pPr>
        <w:ind w:left="780"/>
      </w:pPr>
      <w:r>
        <w:t xml:space="preserve">a) Leib, Leben oder Freiheit einer Person,</w:t>
      </w:r>
    </w:p>
    <w:p>
      <w:pPr>
        <w:ind w:left="780"/>
      </w:pPr>
      <w:r>
        <w:t xml:space="preserve">b) lebenswichtige Güter der Allgemeinheit oder</w:t>
      </w:r>
    </w:p>
    <w:p>
      <w:pPr>
        <w:ind w:left="780"/>
      </w:pPr>
      <w:r>
        <w:t xml:space="preserve">c) den Bestand oder die Sicherheit des Bundes oder eines Landes oder die Sicherheit eines Mitgliedstaates der Europäischen Union, der Europäischen Freihandelsassoziation oder des Nordatlantikvertrages.</w:t>
      </w:r>
    </w:p>
    <w:p>
      <w:r>
        <w:t xml:space="preserve">Bei Gefahr im Verzug erfolgt eine vorläufige Prüfung der Rechtmäßigkeit durch ein Mitglied des gerichtsähnlichen Kontrollorgans des Unabhängigen Kontrollrates, wenn andernfalls der Übermittlungszweck vereitelt oder wesentlich erschwert würde. Wird im Rahmen der vorläufigen Prüfung festgestellt, dass die Übermittlung rechtmäßig ist, darf diese vollzogen werden. In diesem Fall ist die Prüfung durch den Unabhängigen Kontrollrat unverzüglich nachzuholen. Hebt der Unabhängige Kontrollrat die Entscheidung nach Satz 3 auf, wird der Empfänger zur unverzüglichen Löschung der Daten aufgefordert.</w:t>
      </w:r>
    </w:p>
    <w:p>
      <w:r>
        <w:t xml:space="preserve">(9) Eine Übermittlung personenbezogener Daten von Minderjährigen vor Vollendung des 14. Lebensjahres darf nur erfolgen, wenn tatsächliche Anhaltspunkte dafür bestehen, dass der Minderjährige eine der in § 3 Absatz 1 des Artikel 10-Gesetzes genannten Straftaten plant, begeht oder begangen hat oder wenn nach den Umständen des Einzelfalls nicht ausgeschlossen werden kann, dass von dem Minderjährigen eine Gefahr für Leib oder Leben deutscher Staatsangehöriger im Ausland oder für deutsche Einrichtungen im Ausland ausgeht. Eine Übermittlung personenbezogener Daten von Minderjährigen nach Vollendung des 14. Lebensjahres darf nur erfolgen, wenn dies zur Abwehr einer erheblichen Gefahr für ein gewichtiges Rechtsgut oder zur Verfolgung einer Straftat von erheblicher Bedeutung erforderlich ist.</w:t>
      </w:r>
    </w:p>
    <w:p>
      <w:r>
        <w:t xml:space="preserve">(10) Eine Übermittlung unterbleibt, wenn</w:t>
      </w:r>
    </w:p>
    <w:p>
      <w:pPr>
        <w:ind w:left="420"/>
      </w:pPr>
      <w:r>
        <w:t xml:space="preserve">1. für den Bundesnachrichtendienst erkennbar ist, dass unter Berücksichtigung der Art der Information und ihrer Erhebung die schutzwürdigen Interessen der betroffenen Person das Allgemeininteresse an der Übermittlung überwiegen,</w:t>
      </w:r>
    </w:p>
    <w:p>
      <w:pPr>
        <w:ind w:left="420"/>
      </w:pPr>
      <w:r>
        <w:t xml:space="preserve">2. überwiegende Sicherheitsinteressen entgegenstehen oder</w:t>
      </w:r>
    </w:p>
    <w:p>
      <w:pPr>
        <w:ind w:left="420"/>
      </w:pPr>
      <w:r>
        <w:t xml:space="preserve">3. besondere gesetzliche Weiterverarbeitungsregelungen entgegenstehen; die Verpflichtung zur Wahrung gesetzlicher Geheimhaltungspflichten oder von Berufs- und Amtsgeheimnissen, die nicht auf gesetzlichen Vorschriften beruhen, bleibt unberührt.</w:t>
      </w:r>
    </w:p>
    <w:p>
      <w:r>
        <w:t xml:space="preserve">(11) Die Verantwortung für die Zulässigkeit der Übermittlung trägt der Bundesnachrichtendienst. Erfolgt die Übermittlung auf Ersuchen einer inländischen öffentlichen Stelle, trägt diese die Verantwortung. In den Fällen des Satzes 2 prüft der Bundesnachrichtendienst nur, ob das Übermittlungsersuchen im Rahmen der Aufgaben des Empfängers liegt, es sei denn, dass besonderer Anlass zur Prüfung der Zulässigkeit der Übermittlung besteht.</w:t>
      </w:r>
    </w:p>
    <w:p>
      <w:r>
        <w:t xml:space="preserve">(12) Der Bundesnachrichtendienst hat den Empfänger darauf hinzuweisen, zu welchen Zwecken die Daten verarbeitet werden dürfen. Der Empfänger darf die personenbezogenen Daten nur zu den Zwecken verarbeiten, zu denen sie ihm übermittelt worden sind. Der Empfänger ist verpflichtet, dem Bundesnachrichtendienst auf Verlangen Auskunft zu erteilen. Hierauf ist der Empfänger bei der Übermittlung hinzuweisen. Eine Weiterverarbeitung zu anderen Zwecken ist unzulässig, es sein denn, es liegen die Voraussetzungen des Absatzes 7 vor und der Bundesnachrichtendienst stimmt der Zweckänderung zu. Der Bundesnachrichtendienst darf einer über Satz 5 hinausgehenden Zweckänderung der mit dem Zweck der Gefahrenfrüherkennung gekennzeichneten Daten auf Ersuchen des Empfängers zustimmen, wenn der Bundesnachrichtendienst dem Empfänger diese Daten nach Absatz 1 Nummer 2, Absatz 3 oder Absatz 4 auch zu dem geänderten Zweck hätte übermitteln dürfen.</w:t>
      </w:r>
    </w:p>
    <w:p>
      <w:r>
        <w:t xml:space="preserve">(13) Der Empfänger prüft, ob die übermittelten personenbezogenen Daten für die Erfüllung seiner Aufgaben erforderlich sind. Ergibt die Prüfung, dass sie nicht erforderlich sind, hat er die Daten zu löschen. Die Löschung kann unterbleiben, wenn die Trennung von anderen Informationen, die zur Erfüllung der Aufgaben erforderlich sind, nicht oder nur mit übermäßigem Aufwand möglich ist. In diesem Fall ist die Verarbeitung der Daten einzuschränken.</w:t>
      </w:r>
    </w:p>
    <w:p>
      <w:r>
        <w:t xml:space="preserve">(14) Sind mit personenbezogenen Daten weitere personenbezogene Daten der betroffenen Person oder eines Dritten in Akten so verbunden, dass eine Trennung nicht oder nur mit übermäßigem Aufwand möglich ist, so ist die Übermittlung auch dieser Daten zulässig, soweit nicht berechtigte Interessen der betroffenen Person oder eines Dritten an der Geheimhaltung offensichtlich überwiegen. Eine Weiterverarbeitung dieser Daten ist unzulässig.</w:t>
      </w:r>
    </w:p>
    <w:p>
      <w:r>
        <w:t xml:space="preserve">(15) Erweisen sich personenbezogene Daten nach ihrer Übermittlung als unvollständig oder unrichtig, so sind diese unverzüglich gegenüber dem Empfänger zu berichtigen, es sei denn, dass dies für die Beurteilung des Sachverhaltes ohne Bedeutung ist.</w:t>
      </w:r>
    </w:p>
    <w:p>
      <w:r>
        <w:t xml:space="preserve">(16) Die Empfänger, die Rechtsgrundlage für die Übermittlung sowie der Zeitpunkt der Übermittlung sind zu protokollieren. Die Protokolldaten sind bis zum Ablauf des zweiten auf die Protokollierung folgenden Kalenderjahres aufzubewahren und danach unverzüglich zu löschen.</w:t>
      </w:r>
    </w:p>
    <w:p>
      <w:r>
        <w:rPr>
          <w:color w:val="555555"/>
          <w:sz w:val="17"/>
        </w:rPr>
        <w:t xml:space="preserve">Zitiervorschlag: § 29 BNDG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