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BNDG — Datenerhebung durch eine ausländische öffentliche Stelle</w:t>
      </w:r>
    </w:p>
    <w:p>
      <w:r>
        <w:rPr>
          <w:color w:val="555555"/>
          <w:sz w:val="18"/>
        </w:rPr>
        <w:t xml:space="preserve">BND-Gesetz</w:t>
      </w:r>
    </w:p>
    <w:p>
      <w:r>
        <w:rPr>
          <w:color w:val="555555"/>
          <w:sz w:val="18"/>
        </w:rPr>
        <w:t xml:space="preserve">Stand: 09.01.2024 (konsolidierte Textfassung, kein amtliches Inkrafttretensdatum)</w:t>
      </w:r>
    </w:p>
    <w:p>
      <w:r>
        <w:t xml:space="preserve">(1) Der Bundesnachrichtendienst darf ausländische öffentliche Stellen zur Durchführung strategischer Aufklärungsmaßnahmen ersuchen.</w:t>
      </w:r>
    </w:p>
    <w:p>
      <w:r>
        <w:t xml:space="preserve">(2) Der Bundesnachrichtendienst darf die von der ausländischen öffentlichen Stelle erhobenen Daten verarbeiten. Die in diesem Unterabschnitt geregelten Vorschriften zur Datenverarbeitung finden entsprechende Anwendung.</w:t>
      </w:r>
    </w:p>
    <w:p>
      <w:r>
        <w:t xml:space="preserve">(3) Soweit die ausländische öffentliche Stelle zur Datenerhebung Suchbegriffe des Bundesnachrichtendienstes verwendet, müssen diese Suchbegriffe die Voraussetzungen des § 19 Absatz 5 und der §§ 20 bis 22 und 23 Absatz 5 erfüllen. Die ausländische öffentliche Stelle darf diese Suchbegriffe für eigene Zwecke nur nach vorheriger Zustimmung des Bundesnachrichtendienstes nutzen. Eine solche Zustimmung kann erteilt werden, wenn eine Übermittlung der Suchbegriffe nach § 11e zulässig wäre.</w:t>
      </w:r>
    </w:p>
    <w:p>
      <w:r>
        <w:rPr>
          <w:color w:val="555555"/>
          <w:sz w:val="17"/>
        </w:rPr>
        <w:t xml:space="preserve">Zitiervorschlag: § 28 BNDG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https://recht.nulegal.eu/gesetze/BNDG/28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