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BNDG — Schutz von Vertraulichkeitsbeziehungen</w:t>
      </w:r>
    </w:p>
    <w:p>
      <w:r>
        <w:rPr>
          <w:color w:val="555555"/>
          <w:sz w:val="18"/>
        </w:rPr>
        <w:t xml:space="preserve">BND-Gesetz</w:t>
      </w:r>
    </w:p>
    <w:p>
      <w:r>
        <w:rPr>
          <w:color w:val="555555"/>
          <w:sz w:val="18"/>
        </w:rPr>
        <w:t xml:space="preserve">Stand: 09.01.2024 (konsolidierte Textfassung, kein amtliches Inkrafttretensdatum)</w:t>
      </w:r>
    </w:p>
    <w:p>
      <w:r>
        <w:t xml:space="preserve">(1) Die gezielte Erhebung von personenbezogenen Daten nach § 19 Absatz 5 zum Zweck der Erlangung von Daten aus einer Vertraulichkeitsbeziehung ist unzulässig. Vertraulichkeitsbeziehungen im Sinne des Satzes 1 sind solche von Geistlichen, Verteidigern, Rechtsanwälten und Journalisten, die dem Schutz des § 53 Absatz 1 Satz 1 Nummer 1, 2, 3 und 5 sowie Satz 2 der Strafprozessordnung unterfallen würden.</w:t>
      </w:r>
    </w:p>
    <w:p>
      <w:r>
        <w:t xml:space="preserve">(2) Abweichend von Absatz 1 ist die gezielte Datenerhebung zulässig, wenn Tatsachen die Annahme rechtfertigen, dass</w:t>
      </w:r>
    </w:p>
    <w:p>
      <w:pPr>
        <w:ind w:left="420"/>
      </w:pPr>
      <w:r>
        <w:t xml:space="preserve">1. die in Absatz 1 Satz 2 aufgeführte Person Täter oder Teilnehmer einer der in § 11a Absatz 1 genannten Straftaten ist oder</w:t>
      </w:r>
    </w:p>
    <w:p>
      <w:pPr>
        <w:ind w:left="420"/>
      </w:pPr>
      <w:r>
        <w:t xml:space="preserve">2. dies notwendig ist zur Verhinderung einer Gefahr für</w:t>
      </w:r>
    </w:p>
    <w:p>
      <w:pPr>
        <w:ind w:left="780"/>
      </w:pPr>
      <w:r>
        <w:t xml:space="preserve">a) Leib, Leben oder Freiheit einer Person,</w:t>
      </w:r>
    </w:p>
    <w:p>
      <w:pPr>
        <w:ind w:left="780"/>
      </w:pPr>
      <w:r>
        <w:t xml:space="preserve">b) lebenswichtige Güter der Allgemeinheit oder</w:t>
      </w:r>
    </w:p>
    <w:p>
      <w:pPr>
        <w:ind w:left="780"/>
      </w:pPr>
      <w:r>
        <w:t xml:space="preserve">c) den Bestand oder die Sicherheit des Bundes oder eines Landes oder die Sicherheit eines Mitgliedstaates der Europäischen Union, der Europäischen Freihandelsassoziation oder des Nordatlantikvertrages.</w:t>
      </w:r>
    </w:p>
    <w:p>
      <w:r>
        <w:t xml:space="preserve">(3) Sofern erst die Weiterverarbeitung der erhobenen personenbezogenen Daten ergibt, dass diese schutzwürdig nach Absatz 1 sind, dürfen sie nur verwendet werden, wenn die Voraussetzungen des Absatzes 2 vorliegen. Andernfalls sind die Daten unverzüglich zu löschen. Die Löschung ist zu protokollieren. Die Protokolldaten dürfen ausschließlich zur Durchführung von Kontrollen der Datenverarbeitung einschließlich der Datenschutzkontrolle verwendet werden. Die Protokolldaten sind bis zum Ablauf des zweiten auf die Protokollierung folgenden Kalenderjahres aufzubewahren und danach unverzüglich zu löschen.</w:t>
      </w:r>
    </w:p>
    <w:p>
      <w:r>
        <w:t xml:space="preserve">(4) Die Entscheidung über die Zugehörigkeit einer Person zu dem in Absatz 1 Satz 2 genannten Personenkreis ist zu dokumentieren.</w:t>
      </w:r>
    </w:p>
    <w:p>
      <w:r>
        <w:rPr>
          <w:color w:val="555555"/>
          <w:sz w:val="17"/>
        </w:rPr>
        <w:t xml:space="preserve">Zitiervorschlag: § 21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