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BNDG — Besondere Formen der strategischen Ausland-Fernmeldeaufklärung</w:t>
      </w:r>
    </w:p>
    <w:p>
      <w:r>
        <w:rPr>
          <w:color w:val="555555"/>
          <w:sz w:val="18"/>
        </w:rPr>
        <w:t xml:space="preserve">BND-Gesetz</w:t>
      </w:r>
    </w:p>
    <w:p>
      <w:r>
        <w:rPr>
          <w:color w:val="555555"/>
          <w:sz w:val="18"/>
        </w:rPr>
        <w:t xml:space="preserve">Stand: 01.01.2022 (konsolidierte Textfassung, kein amtliches Inkrafttretensdatum)</w:t>
      </w:r>
    </w:p>
    <w:p>
      <w:r>
        <w:t xml:space="preserve">(1) Die gezielte Erhebung von personenbezogenen Daten nach § 19 Absatz 5 von Einrichtungen der Europäischen Union, von öffentlichen Stellen der Mitgliedstaaten der Europäischen Union oder von Unionsbürgerinnen und Unionsbürgern darf nur erfolgen, wenn dies erforderlich ist</w:t>
      </w:r>
    </w:p>
    <w:p>
      <w:pPr>
        <w:ind w:left="420"/>
      </w:pPr>
      <w:r>
        <w:t xml:space="preserve">1. zur Früherkennung von Gefahren im Sinne des § 19 Absatz 4 oder</w:t>
      </w:r>
    </w:p>
    <w:p>
      <w:pPr>
        <w:ind w:left="420"/>
      </w:pPr>
      <w:r>
        <w:t xml:space="preserve">2. zur Sammlung und Auswertung von Informationen im Sinne des § 19 Absatz 3, soweit ausschließlich Daten über Vorgänge in Drittstaaten gewonnen werden sollen, die von besonderer außen- und sicherheitspolitischer Bedeutung für die Bundesrepublik Deutschland sind.</w:t>
      </w:r>
    </w:p>
    <w:p>
      <w:r>
        <w:t xml:space="preserve">Wird nachträglich erkannt, dass eine gezielte Datenerhebung von Einrichtungen der Europäischen Union, von öffentlichen Stellen der Mitgliedstaaten der Europäischen Union oder von Unionsbürgerinnen oder Unionsbürgern erfolgt ist, dürfen die erhobenen personenbezogenen Daten nur bei Vorliegen der Voraussetzungen des Satzes 1 weiterverarbeitet werden. Andernfalls sind sie unverzüglich zu löschen.</w:t>
      </w:r>
    </w:p>
    <w:p>
      <w:r>
        <w:t xml:space="preserve">(2) Die gezielte Erhebung von personenbezogenen Daten von Personen hinsichtlich derer</w:t>
      </w:r>
    </w:p>
    <w:p>
      <w:pPr>
        <w:ind w:left="420"/>
      </w:pPr>
      <w:r>
        <w:t xml:space="preserve">1. tatsächliche Anhaltspunkte dafür vorliegen, dass sie Verursacher von Gefahren im Sinne des § 19 Absatz 4 sind, und</w:t>
      </w:r>
    </w:p>
    <w:p>
      <w:pPr>
        <w:ind w:left="420"/>
      </w:pPr>
      <w:r>
        <w:t xml:space="preserve">2. eine Übermittlung der erhobenen personenbezogenen Daten zum Zweck der Weiterverarbeitung für Folgemaßnahmen mit unmittelbarer Außenwirkung für den Betroffenen nach Nummer 1 im Bereich der Gefahrenabwehr oder Strafverfolgung beabsichtigt ist,</w:t>
      </w:r>
    </w:p>
    <w:p>
      <w:r>
        <w:t xml:space="preserve">darf zur Gefahrenfrüherkennung (§ 19 Absatz 1 Nummer 2) nach § 23 Absatz 5 Satz 1 Nummer 2 nur angeordnet werden, wenn bei der Prüfung der Verhältnismäßigkeit die gegenüber diesen Personen gesteigerte Wahrscheinlichkeit belastender Folgen besonders berücksichtigt wurde.</w:t>
      </w:r>
    </w:p>
    <w:p>
      <w:r>
        <w:t xml:space="preserve">(3) Die individualisierte Überwachung des gesamten Telekommunikationsverkehrs einer Person ist unzulässig.</w:t>
      </w:r>
    </w:p>
    <w:p>
      <w:r>
        <w:rPr>
          <w:color w:val="555555"/>
          <w:sz w:val="17"/>
        </w:rPr>
        <w:t xml:space="preserve">Zitiervorschlag: § 20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