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BNDG — Eingabe in und Zugriff auf die vom Bundesnachrichtendienst geführten gemeinsamen Dateien mit ausländischen öffentlichen Stellen</w:t>
      </w:r>
    </w:p>
    <w:p>
      <w:r>
        <w:rPr>
          <w:color w:val="555555"/>
          <w:sz w:val="18"/>
        </w:rPr>
        <w:t xml:space="preserve">BND-Gesetz</w:t>
      </w:r>
    </w:p>
    <w:p>
      <w:r>
        <w:rPr>
          <w:color w:val="555555"/>
          <w:sz w:val="18"/>
        </w:rPr>
        <w:t xml:space="preserve">Stand: 01.01.2022 (konsolidierte Textfassung, kein amtliches Inkrafttretensdatum)</w:t>
      </w:r>
    </w:p>
    <w:p>
      <w:r>
        <w:t xml:space="preserve">(1) Die Eingabe von personenbezogenen Daten durch den Bundesnachrichtendienst in die von diesem geführten gemeinsamen Dateien mit ausländischen öffentlichen Stellen ist nur zulässig, wenn die Daten allen an der Zusammenarbeit teilnehmenden Stellen übermittelt werden dürfen. Eine Eingabe ist ferner nur zulässig, wenn der Bundesnachrichtendienst die Daten auch in eigenen Dateien speichern darf. Die personenbezogenen Daten sind zu kennzeichnen.</w:t>
      </w:r>
    </w:p>
    <w:p>
      <w:r>
        <w:t xml:space="preserve">(2) Die Eingabe durch den Bundesnachrichtendienst darf auch automatisiert erfolgen. § 32 Absatz 4 und 8 sowie § 33 Absatz 1 und 2 gelten entsprechend.</w:t>
      </w:r>
    </w:p>
    <w:p>
      <w:r>
        <w:t xml:space="preserve">(3) Der Bundesnachrichtendienst und die ausländischen öffentlichen Stellen dürfen unmittelbar auf die gespeicherten personenbezogenen Daten zugreifen und diese nutzen, wenn dies zur Erfüllung der Zwecke, zu denen die Datei errichtet wurde, erforderlich ist.</w:t>
      </w:r>
    </w:p>
    <w:p>
      <w:r>
        <w:t xml:space="preserve">(4) Die Eingabe und der Zugriff sind zu protokollieren. Die Protokolldaten dürfen ausschließlich zur Durchführung von Kontrollen der Datenverarbeitung einschließlich der Datenschutzkontrolle verwendet werden. Die Protokolldaten sind bis zum Ablauf des zweiten auf die Protokollierung folgenden Kalenderjahres aufzubewahren und danach unverzüglich zu löschen.</w:t>
      </w:r>
    </w:p>
    <w:p>
      <w:r>
        <w:rPr>
          <w:color w:val="555555"/>
          <w:sz w:val="17"/>
        </w:rPr>
        <w:t xml:space="preserve">Zitiervorschlag: § 16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