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BNDG — Projektbezogene gemeinsame Dateien mit inländischen öffentlichen Stellen</w:t>
      </w:r>
    </w:p>
    <w:p>
      <w:r>
        <w:rPr>
          <w:color w:val="555555"/>
          <w:sz w:val="18"/>
        </w:rPr>
        <w:t xml:space="preserve">BND-Gesetz</w:t>
      </w:r>
    </w:p>
    <w:p>
      <w:r>
        <w:rPr>
          <w:color w:val="555555"/>
          <w:sz w:val="18"/>
        </w:rPr>
        <w:t xml:space="preserve">Stand: 01.01.2022 (konsolidierte Textfassung, kein amtliches Inkrafttretensdatum)</w:t>
      </w:r>
    </w:p>
    <w:p>
      <w:r>
        <w:t xml:space="preserve">(1) Der Bundesnachrichtendienst kann für die Dauer einer befristeten projektbezogenen Zusammenarbeit mit den Verfassungsschutzbehörden des Bundes und der Länder, dem Militärischen Abschirmdienst, den Polizeibehörden des Bundes und der Länder und dem Zollkriminalamt sowie Dienststellen im Geschäftsbereich des Bundesministeriums der Verteidigung eine gemeinsame Datei errichten. Die projektbezogene Zusammenarbeit bezweckt nach Maßgabe der Aufgaben und Befugnisse der in Satz 1 genannten Behörden den Austausch und die gemeinsame Auswertung von Erkenntnissen im Hinblick auf</w:t>
      </w:r>
    </w:p>
    <w:p>
      <w:pPr>
        <w:ind w:left="420"/>
      </w:pPr>
      <w:r>
        <w:t xml:space="preserve">1. die in § 5 Abs. 1 Satz 3 Nr. 1 bis 3 des Artikel 10-Gesetzes genannten Gefahrenbereiche,</w:t>
      </w:r>
    </w:p>
    <w:p>
      <w:pPr>
        <w:ind w:left="420"/>
      </w:pPr>
      <w:r>
        <w:t xml:space="preserve">2. die in § 5 Abs. 1 Satz 3 Nummer 4 bis 8 des Artikel 10-Gesetzes genannten Gefahrenbereiche, soweit deren Aufklärung Bezüge zum internationalen Terrorismus aufweist oder</w:t>
      </w:r>
    </w:p>
    <w:p>
      <w:pPr>
        <w:ind w:left="420"/>
      </w:pPr>
      <w:r>
        <w:t xml:space="preserve">3. den Schutz der Funktionsfähigkeit der Bundeswehr für die Landes- oder Bündnisverteidigung sowie den Schutz der Funktionsfähigkeit der Bundeswehr bei Auslandseinsätzen.</w:t>
      </w:r>
    </w:p>
    <w:p>
      <w:r>
        <w:t xml:space="preserve">Personenbezogene Daten zu den Gefahrenbereichen nach Satz 2 dürfen unter Einsatz der gemeinsamen Datei durch die an der projektbezogenen Zusammenarbeit beteiligten Behörden im Rahmen ihrer Befugnisse verwendet werden, soweit dies in diesem Zusammenhang zur Erfüllung ihrer Aufgaben erforderlich ist. Bei der weiteren Verwendung der personenbezogenen Daten finden für die beteiligten Behörden die jeweils für sie geltenden Vorschriften über die Verwendung von Daten Anwendung.</w:t>
      </w:r>
    </w:p>
    <w:p>
      <w:r>
        <w:t xml:space="preserve">(2) Für die Eingabe personenbezogener Daten in die gemeinsame Datei gelten die jeweiligen Übermittlungsvorschriften zugunsten der an der Zusammenarbeit beteiligten Behörden entsprechend mit der Maßgabe, dass die Eingabe nur zulässig ist, wenn die Daten allen an der projektbezogenen Zusammenarbeit teilnehmenden Behörden übermittelt werden dürfen. Eine Eingabe ist ferner nur zulässig, wenn die Behörde, die die Daten eingegeben hat, die Daten auch in eigenen Dateien speichern darf. Die Daten sind zu kennzeichnen.</w:t>
      </w:r>
    </w:p>
    <w:p>
      <w:r>
        <w:t xml:space="preserve">(3) Für die Führung einer projektbezogenen gemeinsamen Datei durch den Bundesnachrichtendienst gelten die §§ 6 und 7 in Verbindung mit § 6 Absatz 2 Satz 4 und 5 und Absatz 3 Satz 1 und § 14 Abs. 2 des Bundesverfassungsschutzgesetzes entsprechend. § 9 ist mit der Maßgabe anzuwenden, dass der Bundesnachrichtendienst die Auskunft im Einvernehmen mit der Behörde erteilt, die die datenschutzrechtliche Verantwortung nach Satz 1 trägt und die beteiligte Behörde die Zulässigkeit der Auskunftserteilung nach den für sie geltenden Bestimmungen prüft.</w:t>
      </w:r>
    </w:p>
    <w:p>
      <w:r>
        <w:t xml:space="preserve">(4) Eine gemeinsame Datei nach Absatz 1 ist auf höchstens zwei Jahre zu befristen. Die Frist kann um zwei Jahre und danach um ein weiteres Jahr verlängert werden, wenn das Ziel der projektbezogenen Zusammenarbeit bei Projektende noch nicht erreicht worden ist und die Datei weiterhin für die Erreichung des Ziels erforderlich ist. Soweit das Ziel der projektbezogenen Zusammenarbeit nach Absatz 1 Satz 2 Nummer 3 sich auf den Schutz der Funktionsfähigkeit der Bundeswehr bei Auslandseinsätzen bezieht und die Datei für die Erreichung dieses Ziels weiterhin erforderlich ist, kann die Frist über Satz 2 hinaus um jeweils ein weiteres Jahr, längstens jedoch bis zum Ende des Auslandseinsatzes verlängert werden.</w:t>
      </w:r>
    </w:p>
    <w:p>
      <w:r>
        <w:t xml:space="preserve">(5) Für die Berichtigung, Verarbeitungseinschränkung und Löschung der Daten zu einer Person durch die Behörde, die die Daten eingegeben hat, gelten die jeweiligen, für die Behörde anwendbaren Vorschriften über die Berichtigung, Verarbeitungseinschränkung und Löschung von Daten entsprechend.</w:t>
      </w:r>
    </w:p>
    <w:p>
      <w:r>
        <w:t xml:space="preserve">(6) Der Bundesnachrichtendienst hat im Fall des Absatzes 3 für die gemeinsame Datei in einer Dateianordnung die Angaben nach § 8 in Verbindung mit § 14 Abs. 1 Satz 1 Nr. 1 bis 7 des Bundesverfassungsschutzgesetzes sowie weiter festzulegen:</w:t>
      </w:r>
    </w:p>
    <w:p>
      <w:pPr>
        <w:ind w:left="420"/>
      </w:pPr>
      <w:r>
        <w:t xml:space="preserve">1. die Rechtsgrundlage der Datei,</w:t>
      </w:r>
    </w:p>
    <w:p>
      <w:pPr>
        <w:ind w:left="420"/>
      </w:pPr>
      <w:r>
        <w:t xml:space="preserve">2. die Art der zu speichernden personenbezogenen Daten,</w:t>
      </w:r>
    </w:p>
    <w:p>
      <w:pPr>
        <w:ind w:left="420"/>
      </w:pPr>
      <w:r>
        <w:t xml:space="preserve">3. die Arten der personenbezogenen Daten, die der Erschließung der Datei dienen,</w:t>
      </w:r>
    </w:p>
    <w:p>
      <w:pPr>
        <w:ind w:left="420"/>
      </w:pPr>
      <w:r>
        <w:t xml:space="preserve">4. Voraussetzungen, unter denen in der Datei gespeicherte personenbezogene Daten an welche Empfänger und in welchem Verfahren übermittelt werden,</w:t>
      </w:r>
    </w:p>
    <w:p>
      <w:pPr>
        <w:ind w:left="420"/>
      </w:pPr>
      <w:r>
        <w:t xml:space="preserve">5. im Einvernehmen mit den an der projektbezogenen Zusammenarbeit teilnehmenden Behörden deren jeweilige Organisationseinheiten, die zur Eingabe und zum Abruf befugt sind,</w:t>
      </w:r>
    </w:p>
    <w:p>
      <w:pPr>
        <w:ind w:left="420"/>
      </w:pPr>
      <w:r>
        <w:t xml:space="preserve">6. die umgehende Unterrichtung der eingebenden Behörde über Anhaltspunkte für die Unrichtigkeit eingegebener Daten durch die an der gemeinsamen Datei beteiligten Behörden sowie die Prüfung und erforderlichenfalls die unverzügliche Änderung, Berichtigung oder Löschung dieser Daten durch die Behörde, die die Daten eingegeben hat,</w:t>
      </w:r>
    </w:p>
    <w:p>
      <w:pPr>
        <w:ind w:left="420"/>
      </w:pPr>
      <w:r>
        <w:t xml:space="preserve">7. die Möglichkeit der ergänzenden Eingabe weiterer Daten zu den bereits über eine Person gespeicherten Daten durch die an der gemeinsamen Datei beteiligten Behörden,</w:t>
      </w:r>
    </w:p>
    <w:p>
      <w:pPr>
        <w:ind w:left="420"/>
      </w:pPr>
      <w:r>
        <w:t xml:space="preserve">8. die Protokollierung des Zeitpunktes, der Angaben zur Feststellung des aufgerufenen Datensatzes sowie der für den Abruf verantwortlichen Behörde bei jedem Abruf aus der gemeinsamen Datei durch den Bundesnachrichtendienst für Zwecke der Datenschutzkontrolle einschließlich der Zweckbestimmung der Protokolldaten sowie deren Löschfrist und</w:t>
      </w:r>
    </w:p>
    <w:p>
      <w:pPr>
        <w:ind w:left="420"/>
      </w:pPr>
      <w:r>
        <w:t xml:space="preserve">9. die Zuständigkeit des Bundesnachrichtendienstes für Schadensersatzansprüche des Betroffenen nach § 83 des Bundesdatenschutzgesetzes.</w:t>
      </w:r>
    </w:p>
    <w:p>
      <w:r>
        <w:t xml:space="preserve">Die Dateianordnung bedarf der Zustimmung des Bundeskanzleramtes sowie der für die Fachaufsicht der zusammenarbeitenden Behörden zuständigen obersten Bundes- oder Landesbehörden. Die oder der Bundesbeauftragte für den Datenschutz und die Informationsfreiheit ist vor Erlass einer Dateianordnung anzuhören. § 6 Absatz 2 Satz 6 des Bundesverfassungsschutzgesetzes gilt entsprechend.</w:t>
      </w:r>
    </w:p>
    <w:p>
      <w:r>
        <w:rPr>
          <w:color w:val="555555"/>
          <w:sz w:val="17"/>
        </w:rPr>
        <w:t xml:space="preserve">Zitiervorschlag: § 12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