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11g BNDG — Übermittlung von personenbezogenen Daten aus einer Vertraulichkeitsbeziehung an ausländische Stellen sowie über- oder zwischenstaatliche Stellen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09.01.2024 (konsolidierte Textfassung, kein amtliches Inkrafttretensdatum)</w:t>
      </w:r>
    </w:p>
    <w:p>
      <w:r>
        <w:t xml:space="preserve">Für die Übermittlung von personenbezogenen Daten aus einer Vertraulichkeitsbeziehung (§ 21 Absatz 1 Satz 2) an ausländische Stellen sowie über- oder zwischenstaatliche Stellen gilt § 11d entsprechend mit der Maßgabe, dass die Gefahr in § 11d Absatz 1 Satz 2 Nummer 2 konkret ist.</w:t>
      </w:r>
    </w:p>
    <w:p>
      <w:r>
        <w:rPr>
          <w:color w:val="555555"/>
          <w:sz w:val="17"/>
        </w:rPr>
        <w:t xml:space="preserve">Zitiervorschlag: § 11g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https://recht.nulegal.eu/gesetze/BNDG/11g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