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11d BNDG — Übermittlung von personenbezogenen Daten aus einer Vertraulichkeitsbeziehung an inländische Stellen</w:t>
      </w:r>
    </w:p>
    <w:p>
      <w:r>
        <w:rPr>
          <w:color w:val="555555"/>
          <w:sz w:val="18"/>
        </w:rPr>
        <w:t xml:space="preserve">BND-Gesetz</w:t>
      </w:r>
    </w:p>
    <w:p>
      <w:r>
        <w:rPr>
          <w:color w:val="555555"/>
          <w:sz w:val="18"/>
        </w:rPr>
        <w:t xml:space="preserve">Stand: 09.01.2024 (konsolidierte Textfassung, kein amtliches Inkrafttretensdatum)</w:t>
      </w:r>
    </w:p>
    <w:p>
      <w:r>
        <w:t xml:space="preserve">(1) Eine Übermittlung von personenbezogenen Daten aus einer Vertraulichkeitsbeziehung im Sinne des § 21 Absatz 1 Satz 2, die durch Maßnahmen nach den §§ 19 und 34 erhoben wurden, ist unzulässig. Abweichend von Satz 1 ist eine Übermittlung nach den §§ 11 bis 11c zulässig,</w:t>
      </w:r>
    </w:p>
    <w:p>
      <w:pPr>
        <w:ind w:left="420"/>
      </w:pPr>
      <w:r>
        <w:t xml:space="preserve">1. wenn tatsächliche Anhaltspunkte den Verdacht begründen, dass die in § 21 Absatz 1 Satz 2 aufgeführte Person Täterin oder Täter, Teilnehmerin oder Teilnehmer einer der in § 11a Absatz 1 genannten Straftaten ist, oder</w:t>
      </w:r>
    </w:p>
    <w:p>
      <w:pPr>
        <w:ind w:left="420"/>
      </w:pPr>
      <w:r>
        <w:t xml:space="preserve">2. dies erforderlich ist zur Abwendung einer zumindest konkretisierten Gefahr für</w:t>
      </w:r>
    </w:p>
    <w:p>
      <w:pPr>
        <w:ind w:left="780"/>
      </w:pPr>
      <w:r>
        <w:t xml:space="preserve">a) Leib, Leben oder Freiheit einer Person,</w:t>
      </w:r>
    </w:p>
    <w:p>
      <w:pPr>
        <w:ind w:left="780"/>
      </w:pPr>
      <w:r>
        <w:t xml:space="preserve">b) lebenswichtige Güter der Allgemeinheit oder</w:t>
      </w:r>
    </w:p>
    <w:p>
      <w:pPr>
        <w:ind w:left="780"/>
      </w:pPr>
      <w:r>
        <w:t xml:space="preserve">c) den Bestand oder die Sicherheit des Bundes oder eines Landes oder die Sicherheit eines Mitgliedstaates der Europäischen Union, der Europäischen Freihandelsassoziation oder des Nordatlantikvertrages.</w:t>
      </w:r>
    </w:p>
    <w:p>
      <w:r>
        <w:t xml:space="preserve">(2) Der Unabhängige Kontrollrat prüft das Vorliegen der Voraussetzungen einer Übermittlung nach Absatz 1 vor deren Vollzug. Bestätigt der Unabhängige Kontrollrat die Rechtmäßigkeit der Übermittlung nicht, hat die Übermittlung zu unterbleiben.</w:t>
      </w:r>
    </w:p>
    <w:p>
      <w:r>
        <w:t xml:space="preserve">(3) Bei Gefahr im Verzug erfolgt eine vorläufige Prüfung der Rechtmäßigkeit durch ein Mitglied des gerichtsähnlichen Kontrollorgans des Unabhängigen Kontrollrates, wenn andernfalls der Übermittlungszweck vereitelt oder wesentlich erschwert würde. Wird im Rahmen der vorläufigen Prüfung festgestellt, dass die Übermittlung rechtmäßig ist, darf diese vollzogen werden. In diesem Fall ist die Prüfung durch den Unabhängigen Kontrollrat unverzüglich nachzuholen. Hebt der Unabhängige Kontrollrat die Entscheidung nach Satz 2 auf, wird die empfangende Stelle zur unverzüglichen Löschung der personenbezogenen Daten aufgefordert.</w:t>
      </w:r>
    </w:p>
    <w:p>
      <w:r>
        <w:rPr>
          <w:color w:val="555555"/>
          <w:sz w:val="17"/>
        </w:rPr>
        <w:t xml:space="preserve">Zitiervorschlag: § 11d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https://recht.nulegal.eu/gesetze/BNDG/11d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