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BMinWKBDGAnO</w:t>
      </w:r>
    </w:p>
    <w:p>
      <w:r>
        <w:rPr>
          <w:color w:val="555555"/>
          <w:sz w:val="18"/>
        </w:rPr>
        <w:t xml:space="preserve">Anordnung zur Durchführung des Bundesdisziplinargesetzes im Geschäftsbereich des Bundesministeriums für Wirtschaft und Klimaschutz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Nach § 34 Absatz 5, § 42 Absatz 1 Satz 2 und § 84 Satz 2 des Bundesdisziplinargesetzes, von denen § 34 Absatz 5 durch Artikel 1 Nummer 9 des Gesetzes vom 20. Dezember 2023 (BGBl. 2023 I Nr. 389) neugefasst worden ist, und nach § 127 Absatz 3 Satz 1 des Bundesbeamtengesetzes vom 5. Februar 2009 (BGBl. I S. 160) ordnet das Bundesministerium für Wirtschaft und Klimaschutz an:</w:t>
      </w:r>
    </w:p>
    <w:p>
      <w:r>
        <w:rPr>
          <w:color w:val="555555"/>
          <w:sz w:val="17"/>
        </w:rPr>
        <w:t xml:space="preserve">Zitiervorschlag: Eingangsformel BMinWKBDGAnO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https://recht.nulegal.eu/gesetze/BMinWKBDGAnO/eingangsformel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