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BMinUWidAnO</w:t>
      </w:r>
    </w:p>
    <w:p>
      <w:r>
        <w:rPr>
          <w:color w:val="555555"/>
          <w:sz w:val="18"/>
        </w:rPr>
        <w:t xml:space="preserve">Anordnung zur Übertragung von Zuständigkeiten für den Erlass von Widerspruchsbescheiden und die Vertretung des Dienstherrn bei Klagen von Beschäftigten des Bundesministeriums für Umwelt, Naturschutz und Reaktorsicherheit in Angelegenheiten nach dem Bundesumzugskostengesetz einschließlich der hierzu ergangenen Trennungsgeldverordnung in Verbindung mit dem Dienstrechtlichen Begleitgesetz</w:t>
      </w:r>
    </w:p>
    <w:p>
      <w:r>
        <w:rPr>
          <w:color w:val="555555"/>
          <w:sz w:val="18"/>
        </w:rPr>
        <w:t xml:space="preserve">Stand: 10.06.2019 (konsolidierte Textfassung, kein amtliches Inkrafttretensdatum)</w:t>
      </w:r>
    </w:p>
    <w:p>
      <w:r>
        <w:t xml:space="preserve">Auf Grund des § 174 Abs. 3 des Bundesbeamtengesetzes in der Fassung der Bekanntmachung vom 31. März 1999 (BGBl. I S. 675) übertrage ich dem Bundesamt für Finanzen die Vertretung des Bundesministeriums für Umwelt, Naturschutz und Reaktorsicherheit bei Klagen, soweit es nach dieser Anordnung zur Entscheidung über Widersprüche zuständig ist.</w:t>
      </w:r>
    </w:p>
    <w:p>
      <w:r>
        <w:rPr>
          <w:color w:val="555555"/>
          <w:sz w:val="17"/>
        </w:rPr>
        <w:t xml:space="preserve">Zitiervorschlag: II. BMinUWidAnO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https://recht.nulegal.eu/gesetze/BMinUWidAnO/ii.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BMinUWidAnO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