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III. BMinGZustAnO</w:t>
      </w:r>
    </w:p>
    <w:p>
      <w:r>
        <w:rPr>
          <w:color w:val="555555"/>
          <w:sz w:val="18"/>
        </w:rPr>
        <w:t xml:space="preserve">Anordnung zur Übertragung von Zuständigkeiten für den Erlass von Widerspruchs- und Einspruchsbescheiden und die Vertretung des Dienstherrn bei Klagen von Beschäftigten des Bundesministeriums für Gesundheit in Angelegenheiten der Besoldung, des Tarifentgelts und des Kindergeldes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ist mit Wirkung vom 1. August 2005 anzuwenden.</w:t>
      </w:r>
    </w:p>
    <w:p>
      <w:r>
        <w:rPr>
          <w:color w:val="555555"/>
          <w:sz w:val="17"/>
        </w:rPr>
        <w:t xml:space="preserve">Zitiervorschlag: III. BMinGZustAnO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https://recht.nulegal.eu/gesetze/BMinGZustAnO/iii.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