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Amtsverhältnis der Mitglieder der Bundesregierung endet</w:t>
      </w:r>
    </w:p>
    <w:p>
      <w:pPr>
        <w:ind w:left="420"/>
      </w:pPr>
      <w:r>
        <w:t xml:space="preserve">1. mit der Entlassung des Bundeskanzlers, wenn der Bundestag ihm nach Artikel 67 des Grundgesetzes das Mißtrauen ausgesprochen hat,</w:t>
      </w:r>
    </w:p>
    <w:p>
      <w:pPr>
        <w:ind w:left="420"/>
      </w:pPr>
      <w:r>
        <w:t xml:space="preserve">2. mit dem Zusammentritt eines neuen Bundestages,</w:t>
      </w:r>
    </w:p>
    <w:p>
      <w:pPr>
        <w:ind w:left="420"/>
      </w:pPr>
      <w:r>
        <w:t xml:space="preserve">3. mit jeder anderen Erledigung des Amtes des Bundeskanzlers.</w:t>
      </w:r>
    </w:p>
    <w:p>
      <w:r>
        <w:t xml:space="preserve">(2) Das Amtsverhältnis der einzelnen Bundesminister endet außerdem mit ihrer Entlassung. Die Bundesminister können jederzeit entlassen werden und ihre Entlassung jederzeit verlangen.</w:t>
      </w:r>
    </w:p>
    <w:p>
      <w:r>
        <w:rPr>
          <w:color w:val="555555"/>
          <w:sz w:val="17"/>
        </w:rPr>
        <w:t xml:space="preserve">Zitiervorschlag: § 9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