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6d BMinG</w:t>
      </w:r>
    </w:p>
    <w:p>
      <w:r>
        <w:rPr>
          <w:color w:val="555555"/>
          <w:sz w:val="18"/>
        </w:rPr>
        <w:t xml:space="preserve">Bundesministergesetz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Wird die Aufnahme einer Erwerbstätigkeit oder sonstigen Beschäftigung nach § 6b Absatz 1 Satz 1 untersagt, so wird das Übergangsgeld für die Dauer der Untersagung gewährt, sofern sich nicht aus § 14 Absatz 2 Satz 1 ein weitergehender Anspruch ergibt.</w:t>
      </w:r>
    </w:p>
    <w:p>
      <w:r>
        <w:rPr>
          <w:color w:val="555555"/>
          <w:sz w:val="17"/>
        </w:rPr>
        <w:t xml:space="preserve">Zitiervorschlag: § 6d BMinG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https://recht.nulegal.eu/gesetze/BMinG/6d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