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6c BMinG</w:t>
      </w:r>
    </w:p>
    <w:p>
      <w:r>
        <w:rPr>
          <w:color w:val="555555"/>
          <w:sz w:val="18"/>
        </w:rPr>
        <w:t xml:space="preserve">Bundesministergesetz</w:t>
      </w:r>
    </w:p>
    <w:p>
      <w:r>
        <w:rPr>
          <w:color w:val="555555"/>
          <w:sz w:val="18"/>
        </w:rPr>
        <w:t xml:space="preserve">Stand: 01.07.2020 (konsolidierte Textfassung, kein amtliches Inkrafttretensdatum)</w:t>
      </w:r>
    </w:p>
    <w:p>
      <w:r>
        <w:t xml:space="preserve">(1) Die Mitglieder des beratenden Gremiums sollen Funktionen an der Spitze staatlicher oder gesellschaftlicher Institutionen wahrgenommen haben oder über Erfahrungen in einem wichtigen politischen Amt verfügen. Sie werden auf Vorschlag der Bundesregierung jeweils zu Beginn einer Wahlperiode des Deutschen Bundestages vom Bundespräsidenten berufen und sind ehrenamtlich tätig.</w:t>
      </w:r>
    </w:p>
    <w:p>
      <w:r>
        <w:t xml:space="preserve">(2) Die Mitglieder des beratenden Gremiums sind auch nach ihrem Ausscheiden zur Verschwiegenheit über die ihnen bei oder bei Gelegenheit ihrer Tätigkeit bekannt gewordenen Angelegenheiten verpflichtet.</w:t>
      </w:r>
    </w:p>
    <w:p>
      <w:r>
        <w:t xml:space="preserve">(3) Die Mitglieder des beratenden Gremiums erhalten eine pauschale Entschädigung sowie Ersatz ihrer Reisekosten. Diese werden vom Chef des Bundeskanzleramtes im Einvernehmen mit dem Bundesministerium des Innern, für Bau und Heimat festgesetzt.</w:t>
      </w:r>
    </w:p>
    <w:p>
      <w:r>
        <w:t xml:space="preserve">(4) Die Mitglieder des beratenden Gremiums üben ihre Tätigkeit so lange aus, bis neue Mitglieder nach Absatz 1 Satz 2 berufen worden sind. Wiederberufungen sind zulässig.</w:t>
      </w:r>
    </w:p>
    <w:p>
      <w:r>
        <w:t xml:space="preserve">(5) Für die Erfüllung seiner Aufgabe ist dem beratenden Gremium das notwendige Personal und die notwendige Sachausstattung zur Verfügung zu stellen.</w:t>
      </w:r>
    </w:p>
    <w:p>
      <w:r>
        <w:rPr>
          <w:color w:val="555555"/>
          <w:sz w:val="17"/>
        </w:rPr>
        <w:t xml:space="preserve">Zitiervorschlag: § 6c BMinG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https://recht.nulegal.eu/gesetze/BMinG/6c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