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BMinG</w:t>
      </w:r>
    </w:p>
    <w:p>
      <w:r>
        <w:rPr>
          <w:color w:val="555555"/>
          <w:sz w:val="18"/>
        </w:rPr>
        <w:t xml:space="preserve">Bundesministergesetz</w:t>
      </w:r>
    </w:p>
    <w:p>
      <w:r>
        <w:rPr>
          <w:color w:val="555555"/>
          <w:sz w:val="18"/>
        </w:rPr>
        <w:t xml:space="preserve">Stand: 10.06.2019 (konsolidierte Textfassung, kein amtliches Inkrafttretensdatum)</w:t>
      </w:r>
    </w:p>
    <w:p>
      <w:r>
        <w:t xml:space="preserve">(1) Die Mitglieder der Bundesregierung sind, auch nach Beendigung ihres Amtsverhältnisses, verpflichtet, über die ihnen amtlich bekanntgewordenen Angelegenheiten Verschwiegenheit zu bewahren. Dies gilt nicht für Mitteilungen im dienstlichen Verkehr oder über Tatsachen, die offenkundig sind oder ihrer Bedeutung nach keiner Geheimhaltung bedürfen.</w:t>
      </w:r>
    </w:p>
    <w:p>
      <w:r>
        <w:t xml:space="preserve">(2) Die Mitglieder der Bundesregierung dürfen, auch wenn sie nicht mehr im Amt sind, über solche Angelegenheiten ohne Genehmigung der Bundesregierung weder vor Gericht noch außergerichtlich aussagen oder Erklärungen abgeben.</w:t>
      </w:r>
    </w:p>
    <w:p>
      <w:r>
        <w:t xml:space="preserve">(3) Unberührt bleibt die gesetzlich begründete Pflicht, Straftaten anzuzeigen und bei Gefährdung der freiheitlichen demokratischen Grundordnung für deren Erhaltung einzutreten.</w:t>
      </w:r>
    </w:p>
    <w:p>
      <w:r>
        <w:rPr>
          <w:color w:val="555555"/>
          <w:sz w:val="17"/>
        </w:rPr>
        <w:t xml:space="preserve">Zitiervorschlag: § 6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