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24 BMinG</w:t>
      </w:r>
    </w:p>
    <w:p>
      <w:r>
        <w:rPr>
          <w:color w:val="555555"/>
          <w:sz w:val="18"/>
        </w:rPr>
        <w:t xml:space="preserve">Bundesministergesetz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mit Wirkung vom 20. September 1949, § 11 jedoch erst vom 1. April 1953 ab in Kraft.</w:t>
      </w:r>
    </w:p>
    <w:p>
      <w:r>
        <w:t xml:space="preserve">(2) Für die Zeit vor dem 1. April 1953 verbleibt es bei den geleisteten Zahlungen.</w:t>
      </w:r>
    </w:p>
    <w:p>
      <w:r>
        <w:rPr>
          <w:color w:val="555555"/>
          <w:sz w:val="17"/>
        </w:rPr>
        <w:t xml:space="preserve">Zitiervorschlag: § 24 BMinG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https://recht.nulegal.eu/gesetze/BMinG/24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