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BMinG</w:t>
      </w:r>
    </w:p>
    <w:p>
      <w:r>
        <w:rPr>
          <w:color w:val="555555"/>
          <w:sz w:val="18"/>
        </w:rPr>
        <w:t xml:space="preserve">Bundesministergesetz</w:t>
      </w:r>
    </w:p>
    <w:p>
      <w:r>
        <w:rPr>
          <w:color w:val="555555"/>
          <w:sz w:val="18"/>
        </w:rPr>
        <w:t xml:space="preserve">Stand: 10.06.2019 (konsolidierte Textfassung, kein amtliches Inkrafttretensdatum)</w:t>
      </w:r>
    </w:p>
    <w:p>
      <w:r>
        <w:t xml:space="preserve">(1) Die Vorschriften dieses Gesetzes finden auf die ehemaligen Mitglieder des Verwaltungsrates des Vereinigten Wirtschaftsgebietes (den Vorsitzenden des Verwaltungsrates und die Direktoren der Verwaltungen) entsprechende Anwendung.</w:t>
      </w:r>
    </w:p>
    <w:p>
      <w:r>
        <w:t xml:space="preserve">(2) Ist ein ehemaliges Mitglied des Verwaltungsrates des Vereinigten Wirtschaftsgebietes im unmittelbaren Anschluß an seine Amtszeit zum Mitglied der Bundesregierung ernannt worden, so gelten die Amtszeiten als Mitglied des Verwaltungsrates und als Mitglied der Bundesregierung im Sinne des § 15 Abs. 1 bis 4 als einheitliche Amtszeit.</w:t>
      </w:r>
    </w:p>
    <w:p>
      <w:r>
        <w:t xml:space="preserve">(3) Dieses Gesetz ist auf die Mitglieder des Ministerrats der ehemaligen Deutschen Demokratischen Republik, die diesem im Zeitraum ab dem 12. April 1990 angehört haben, mit folgenden Maßgaben anzuwenden: Das Ruhegehalt wird vom Ende des Monats, in dem das ehemalige Mitglied des Ministerrats das 55. Lebensjahr vollendet hat, gewährt. Es beträgt für die Zeit der Zugehörigkeit zum Ministerrat in dem Zeitraum ab dem 12. April 1990 für</w:t>
      </w:r>
    </w:p>
    <w:p>
      <w:pPr>
        <w:ind w:left="420"/>
      </w:pPr>
      <w:r>
        <w:t xml:space="preserve">1. den Ministerpräsidenten fünf vom Hundert des Amtsgehalts und des Ortszuschlags des Bundeskanzlers,</w:t>
      </w:r>
    </w:p>
    <w:p>
      <w:pPr>
        <w:ind w:left="420"/>
      </w:pPr>
      <w:r>
        <w:t xml:space="preserve">2. die Minister fünf vom Hundert des Amtsgehalts und des Ortszuschlags eines Bundesministers</w:t>
      </w:r>
    </w:p>
    <w:p>
      <w:r>
        <w:t xml:space="preserve">nach § 11 in Verbindung mit dem Gesetz über die Nichtanpassung von Amtsgehalt und Ortszuschlag der Mitglieder der Bundesregierung und der Parlamentarischen Staatssekretäre. § 20 Abs. 2a ist nur hinsichtlich der Berücksichtigung von Renten anzuwenden. Versorgungsbezüge werden auf Antrag ab dem 1. November 2008 gewährt. Die Sätze 1 bis 5 gelten nicht, wenn der Berechtigte oder derjenige, von dem er seine Berechtigung herleitet, gegen die Grundsätze der Menschlichkeit und Rechtsstaatlichkeit verstoßen oder in schwerwiegendem Maße die Stellung zum eigenen Vorteil oder Nachteil anderer missbraucht hat.</w:t>
      </w:r>
    </w:p>
    <w:p>
      <w:r>
        <w:t xml:space="preserve">(4) Für ehemalige Mitglieder der Bundesregierung, die die Voraussetzungen des Absatzes 3 erfüllen, gilt die Zeit der Zugehörigkeit zum Ministerrat als volles Amtsjahr.</w:t>
      </w:r>
    </w:p>
    <w:p>
      <w:r>
        <w:rPr>
          <w:color w:val="555555"/>
          <w:sz w:val="17"/>
        </w:rPr>
        <w:t xml:space="preserve">Zitiervorschlag: § 21 BMinG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https://recht.nulegal.eu/gesetze/BMinG/21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