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BMinG</w:t>
      </w:r>
    </w:p>
    <w:p>
      <w:r>
        <w:rPr>
          <w:color w:val="555555"/>
          <w:sz w:val="18"/>
        </w:rPr>
        <w:t xml:space="preserve">Bundesministergesetz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der Bundesregierung erhalten eine vom Bundespräsidenten vollzogene Urkunde über ihre Ernennung. Die Urkunde für die Bundesminister ist vom Bundeskanzler gegenzuzeichnen; die Urkunde für den Bundeskanzler bedarf keiner Gegenzeichnung. Eine Ernennung in elektronischer Form ist ausgeschlossen.</w:t>
      </w:r>
    </w:p>
    <w:p>
      <w:r>
        <w:t xml:space="preserve">(2) Das Amtsverhältnis beginnt mit der Aushändigung der Urkunde oder, falls der Eid vorher geleistet worden ist (§ 3), mit der Vereidigung.</w:t>
      </w:r>
    </w:p>
    <w:p>
      <w:r>
        <w:t xml:space="preserve">(3) In der Urkunde für die Bundesminister soll der übertragene Geschäftszweig angegeben sein.</w:t>
      </w:r>
    </w:p>
    <w:p>
      <w:r>
        <w:rPr>
          <w:color w:val="555555"/>
          <w:sz w:val="17"/>
        </w:rPr>
        <w:t xml:space="preserve">Zitiervorschlag: § 2 BMinG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