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BMinG</w:t>
      </w:r>
    </w:p>
    <w:p>
      <w:r>
        <w:rPr>
          <w:color w:val="555555"/>
          <w:sz w:val="18"/>
        </w:rPr>
        <w:t xml:space="preserve">Bundesministergesetz</w:t>
      </w:r>
    </w:p>
    <w:p>
      <w:r>
        <w:rPr>
          <w:color w:val="555555"/>
          <w:sz w:val="18"/>
        </w:rPr>
        <w:t xml:space="preserve">Stand: 10.06.2019 (konsolidierte Textfassung, kein amtliches Inkrafttretensdatum)</w:t>
      </w:r>
    </w:p>
    <w:p>
      <w:r>
        <w:t xml:space="preserve">(1) Wird ein Beamter oder Richter des Bundes zum Mitglied der Bundesregierung ernannt, so scheidet er mit dem Beginn des Amtsverhältnisses (§ 2 Abs. 2) aus seinem Amt als Beamter oder Richter aus. Für die Dauer der Mitgliedschaft ruhen die in dem Dienstverhältnis begründeten Rechte und Pflichten mit Ausnahme der Pflicht zur Amtsverschwiegenheit und des Verbots der Annahme von Belohnungen oder Geschenken. Bei unfallverletzten Beamten oder Richtern bleibt der Anspruch auf das Heilverfahren unberührt.</w:t>
      </w:r>
    </w:p>
    <w:p>
      <w:r>
        <w:t xml:space="preserve">(2) Endet das Amtsverhältnis als Mitglied der Bundesregierung, so tritt der Beamte oder Richter, wenn ihm nicht innerhalb dreier Monate mit seinem Einverständnis ein anderes Amt übertragen wird, mit Ablauf dieser Frist aus dem Dienstverhältnis als Beamter oder Richter in den Ruhestand und erhält das Ruhegehalt, das er in seinem früheren Amt unter Hinzurechnung der Amtszeit als Mitglied der Bundesregierung erdient hätte.</w:t>
      </w:r>
    </w:p>
    <w:p>
      <w:r>
        <w:t xml:space="preserve">(3) Die Absätze 1 und 2 gelten entsprechend für die zu Mitgliedern der Bundesregierung ernannten Beamten oder Richter eines Landes, einer Gemeinde (Gemeindeverbandes) oder einer sonstigen Körperschaft, Anstalt oder Stiftung des öffentlichen Rechts. Das Ruhegehalt wird vom Bund übernommen. Entsprechendes gilt für die Hinterbliebenenbezüge.</w:t>
      </w:r>
    </w:p>
    <w:p>
      <w:r>
        <w:t xml:space="preserve">(4) Scheidet ein Mitglied einer Landesregierung wegen der Übernahme des Amtes als Mitglied der Bundesregierung (§ 4) aus und steht ihm aus seinem Amtsverhältnis als Mitglied einer Landesregierung ein Anspruch auf Versorgung zu, so wird diese vom Bund übernommen.</w:t>
      </w:r>
    </w:p>
    <w:p>
      <w:r>
        <w:rPr>
          <w:color w:val="555555"/>
          <w:sz w:val="17"/>
        </w:rPr>
        <w:t xml:space="preserve">Zitiervorschlag: § 18 BMinG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