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Mitglied der Bundesregierung durch einen Dienstunfall verletzt, so wird ihm und seinen Hinterbliebenen Unfallfürsorge gewährt.</w:t>
      </w:r>
    </w:p>
    <w:p>
      <w:r>
        <w:t xml:space="preserve">(2) Unfälle aus Anlaß einer aus politischen Rücksichten erfolgten Teilnahme an Veranstaltungen gelten im Zweifel als Dienstunfälle.</w:t>
      </w:r>
    </w:p>
    <w:p>
      <w:r>
        <w:t xml:space="preserve">(3) Die Unfallfürsorge besteht</w:t>
      </w:r>
    </w:p>
    <w:p>
      <w:pPr>
        <w:ind w:left="420"/>
      </w:pPr>
      <w:r>
        <w:t xml:space="preserve">1. in einem Heilverfahren für den Verletzten,</w:t>
      </w:r>
    </w:p>
    <w:p>
      <w:pPr>
        <w:ind w:left="420"/>
      </w:pPr>
      <w:r>
        <w:t xml:space="preserve">2. in einem Ruhegehalt, wenn das Mitglied der Bundesregierung dienstunfähig geworden ist und sein Amtsverhältnis endet,</w:t>
      </w:r>
    </w:p>
    <w:p>
      <w:pPr>
        <w:ind w:left="420"/>
      </w:pPr>
      <w:r>
        <w:t xml:space="preserve">3. in einer Hinterbliebenenversorgung, wenn das Mitglied der Bundesregierung infolge des Unfalls verstorben ist.</w:t>
      </w:r>
    </w:p>
    <w:p>
      <w:r>
        <w:rPr>
          <w:color w:val="555555"/>
          <w:sz w:val="17"/>
        </w:rPr>
        <w:t xml:space="preserve">Zitiervorschlag: § 17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